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350"/>
        </w:tabs>
        <w:kinsoku/>
        <w:wordWrap/>
        <w:overflowPunct/>
        <w:topLinePunct w:val="0"/>
        <w:autoSpaceDE/>
        <w:autoSpaceDN/>
        <w:bidi w:val="0"/>
        <w:adjustRightInd/>
        <w:snapToGrid/>
        <w:spacing w:line="579" w:lineRule="exact"/>
        <w:ind w:left="0" w:leftChars="0" w:firstLine="0" w:firstLineChars="0"/>
        <w:jc w:val="both"/>
        <w:textAlignment w:val="auto"/>
        <w:rPr>
          <w:rFonts w:hint="default" w:ascii="Times New Roman" w:hAnsi="Times New Roman" w:eastAsia="黑体" w:cs="Times New Roman"/>
          <w:color w:val="000000"/>
          <w:kern w:val="0"/>
          <w:sz w:val="32"/>
          <w:szCs w:val="32"/>
          <w:highlight w:val="none"/>
          <w:shd w:val="clear" w:color="auto" w:fill="FFFFFF"/>
          <w:lang w:val="en-US" w:eastAsia="zh-CN" w:bidi="ar"/>
        </w:rPr>
      </w:pPr>
      <w:r>
        <w:rPr>
          <w:rFonts w:hint="default" w:ascii="Times New Roman" w:hAnsi="Times New Roman" w:eastAsia="黑体" w:cs="Times New Roman"/>
          <w:color w:val="000000"/>
          <w:kern w:val="0"/>
          <w:sz w:val="32"/>
          <w:szCs w:val="32"/>
          <w:highlight w:val="none"/>
          <w:shd w:val="clear" w:color="auto" w:fill="FFFFFF"/>
          <w:lang w:eastAsia="zh-CN" w:bidi="ar"/>
        </w:rPr>
        <w:t>附件</w:t>
      </w:r>
      <w:r>
        <w:rPr>
          <w:rFonts w:hint="default" w:ascii="Times New Roman" w:hAnsi="Times New Roman" w:eastAsia="黑体" w:cs="Times New Roman"/>
          <w:color w:val="000000"/>
          <w:kern w:val="0"/>
          <w:sz w:val="32"/>
          <w:szCs w:val="32"/>
          <w:highlight w:val="none"/>
          <w:shd w:val="clear" w:color="auto" w:fill="FFFFFF"/>
          <w:lang w:val="en-US" w:eastAsia="zh-CN" w:bidi="ar"/>
        </w:rPr>
        <w:t>1</w:t>
      </w:r>
    </w:p>
    <w:p>
      <w:pPr>
        <w:pStyle w:val="16"/>
        <w:spacing w:line="590" w:lineRule="exact"/>
        <w:ind w:firstLine="0" w:firstLineChars="0"/>
        <w:rPr>
          <w:rFonts w:hint="eastAsia" w:ascii="仿宋_GB2312" w:hAnsi="仿宋_GB2312" w:eastAsia="仿宋_GB2312" w:cs="仿宋_GB2312"/>
          <w:b w:val="0"/>
          <w:bCs/>
          <w:sz w:val="32"/>
          <w:szCs w:val="32"/>
        </w:rPr>
      </w:pPr>
    </w:p>
    <w:p>
      <w:pPr>
        <w:jc w:val="center"/>
        <w:rPr>
          <w:rStyle w:val="17"/>
          <w:sz w:val="40"/>
          <w:szCs w:val="40"/>
          <w:lang w:val="en-US" w:eastAsia="zh-CN" w:bidi="ar"/>
        </w:rPr>
      </w:pPr>
      <w:r>
        <w:rPr>
          <w:rStyle w:val="17"/>
          <w:sz w:val="40"/>
          <w:szCs w:val="40"/>
          <w:lang w:val="en-US" w:eastAsia="zh-CN" w:bidi="ar"/>
        </w:rPr>
        <w:t>四川省《中华人民共和国动物防疫法》实施办法</w:t>
      </w:r>
    </w:p>
    <w:p>
      <w:pPr>
        <w:jc w:val="center"/>
        <w:rPr>
          <w:rStyle w:val="17"/>
          <w:lang w:val="en-US" w:eastAsia="zh-CN" w:bidi="ar"/>
        </w:rPr>
      </w:pPr>
      <w:r>
        <w:rPr>
          <w:rStyle w:val="17"/>
          <w:rFonts w:hint="eastAsia" w:ascii="楷体_GB2312" w:hAnsi="楷体_GB2312" w:eastAsia="楷体_GB2312" w:cs="楷体_GB2312"/>
          <w:sz w:val="32"/>
          <w:szCs w:val="32"/>
          <w:lang w:val="en-US" w:eastAsia="zh-CN" w:bidi="ar"/>
        </w:rPr>
        <w:t>（修订草案征求意见稿）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 xml:space="preserve">第一条【立法目的】 </w:t>
      </w:r>
      <w:r>
        <w:rPr>
          <w:rStyle w:val="17"/>
          <w:rFonts w:hint="eastAsia" w:ascii="仿宋_GB2312" w:hAnsi="仿宋_GB2312" w:eastAsia="仿宋_GB2312" w:cs="仿宋_GB2312"/>
          <w:sz w:val="32"/>
          <w:szCs w:val="32"/>
          <w:lang w:val="en-US" w:eastAsia="zh-CN" w:bidi="ar"/>
        </w:rPr>
        <w:t xml:space="preserve"> 为了加强对动物防疫活动的管理，预防、控制、净化、消灭动物疫病，促进养殖业发展，防控人畜共患传染病，保障公共卫生安全和人体健康，根据《中华人民共和国动物防疫法》及其他有关法律、行政法规，结合四川省实际，制定本实施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第二条【适用范围和定义】</w:t>
      </w:r>
      <w:r>
        <w:rPr>
          <w:rStyle w:val="17"/>
          <w:rFonts w:hint="eastAsia" w:ascii="仿宋_GB2312" w:hAnsi="仿宋_GB2312" w:eastAsia="仿宋_GB2312" w:cs="仿宋_GB2312"/>
          <w:sz w:val="32"/>
          <w:szCs w:val="32"/>
          <w:lang w:val="en-US" w:eastAsia="zh-CN" w:bidi="ar"/>
        </w:rPr>
        <w:t xml:space="preserve">  四川省行政区域内的动物防疫及其监督管理活动，适用本实施办法。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本实施办法所称动物防疫，是指动物疫病的预防、控制、诊疗、净化、消灭和动物、动物产品的检疫，以及病死动物、病害动物产品的无害化处理。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进出境动物、动物产品的检疫，适用《中华人民共和国进出境动植物检疫法》等相关法律、行政法规的规定。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 xml:space="preserve">第三条【政府职责】  </w:t>
      </w:r>
      <w:r>
        <w:rPr>
          <w:rStyle w:val="17"/>
          <w:rFonts w:hint="eastAsia" w:ascii="仿宋_GB2312" w:hAnsi="仿宋_GB2312" w:eastAsia="仿宋_GB2312" w:cs="仿宋_GB2312"/>
          <w:sz w:val="32"/>
          <w:szCs w:val="32"/>
          <w:lang w:val="en-US" w:eastAsia="zh-CN" w:bidi="ar"/>
        </w:rPr>
        <w:t>县级以上地方人民政府统一领导本行政区域内的动物防疫工作，将其纳入国民经济和社会发展规划以及年度计划，制定并组织实施动物疫病防治规划，加强动物防疫基础设施和信息化建设，强化动物防疫队伍建设，采取措施稳定基层机构队伍，健全动物疫病防控机制和重大动物疫情应急处置体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应当将动物疫病的监测、预警、预防、控制、净化、消灭，动物和动物产品的检疫和病死动物的无害化处理，重大动物疫情应急处置，动物运输指定通道建设运行和信息化建设，以及监督管理等所需经费纳入本级预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 xml:space="preserve">第四条【部门职责】  </w:t>
      </w:r>
      <w:r>
        <w:rPr>
          <w:rStyle w:val="17"/>
          <w:rFonts w:hint="eastAsia" w:ascii="仿宋_GB2312" w:hAnsi="仿宋_GB2312" w:eastAsia="仿宋_GB2312" w:cs="仿宋_GB2312"/>
          <w:sz w:val="32"/>
          <w:szCs w:val="32"/>
          <w:lang w:val="en-US" w:eastAsia="zh-CN" w:bidi="ar"/>
        </w:rPr>
        <w:t>县级以上地方人民政府农业农村主管部门主管本行政区域内的动物防疫工作。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县级以上地方人民政府发展改革、公安、财政、生态环境、交通运输、商务、卫生健康、疾病预防控制、应急管理、市场监督管理、林业草原、城市管理和海关等有关部门在各自的职责范围内做好动物防疫工作。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 xml:space="preserve">第五条【相关机构职责】 </w:t>
      </w:r>
      <w:r>
        <w:rPr>
          <w:rStyle w:val="17"/>
          <w:rFonts w:hint="eastAsia" w:ascii="仿宋_GB2312" w:hAnsi="仿宋_GB2312" w:eastAsia="仿宋_GB2312" w:cs="仿宋_GB2312"/>
          <w:sz w:val="32"/>
          <w:szCs w:val="32"/>
          <w:lang w:val="en-US" w:eastAsia="zh-CN" w:bidi="ar"/>
        </w:rPr>
        <w:t xml:space="preserve"> 县级以上地方人民政府的动物卫生监督机构，依法负责动物及动物产品的检疫及相关监督管理工作。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县级以上地方人民政府农业农</w:t>
      </w:r>
      <w:r>
        <w:rPr>
          <w:rStyle w:val="17"/>
          <w:rFonts w:hint="eastAsia" w:ascii="仿宋_GB2312" w:hAnsi="仿宋_GB2312" w:eastAsia="仿宋_GB2312" w:cs="仿宋_GB2312"/>
          <w:sz w:val="32"/>
          <w:szCs w:val="32"/>
          <w:highlight w:val="none"/>
          <w:lang w:val="en-US" w:eastAsia="zh-CN" w:bidi="ar"/>
        </w:rPr>
        <w:t>村主管部门综</w:t>
      </w:r>
      <w:r>
        <w:rPr>
          <w:rStyle w:val="17"/>
          <w:rFonts w:hint="eastAsia" w:ascii="仿宋_GB2312" w:hAnsi="仿宋_GB2312" w:eastAsia="仿宋_GB2312" w:cs="仿宋_GB2312"/>
          <w:sz w:val="32"/>
          <w:szCs w:val="32"/>
          <w:lang w:val="en-US" w:eastAsia="zh-CN" w:bidi="ar"/>
        </w:rPr>
        <w:t>合执法机构承担动物防疫行政处罚以及与行政处罚相关的行政检查、行政强制工作。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县级以上地方人民政府建立的动物疫病预防控制机构，承担动物疫病的监测、检测、诊断、流行病学调查、疫情报告以及其他预防、控制等技术工作；承担动物疫病净化、消灭的技术工作。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第六条【乡镇街道和基层自治组织职责】</w:t>
      </w:r>
      <w:r>
        <w:rPr>
          <w:rStyle w:val="17"/>
          <w:rFonts w:hint="eastAsia" w:ascii="仿宋_GB2312" w:hAnsi="仿宋_GB2312" w:eastAsia="仿宋_GB2312" w:cs="仿宋_GB2312"/>
          <w:sz w:val="32"/>
          <w:szCs w:val="32"/>
          <w:lang w:val="en-US" w:eastAsia="zh-CN" w:bidi="ar"/>
        </w:rPr>
        <w:t xml:space="preserve">  乡镇人民政府、街道办事处按照规定职责组织群众做好本辖区内动物疫病预防与控制工作。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村民委员会、居民委员会应当协助做好动物防疫工作，督促村民、居民依法履行动物防疫义务。村民委员会、居民委员可根据需要配备村级防疫员协助实施强制免疫和疫情观察报告等动物防疫工作，按照国家有关规定给予经费补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第七条【单位和个人义务】</w:t>
      </w:r>
      <w:r>
        <w:rPr>
          <w:rStyle w:val="17"/>
          <w:rFonts w:hint="eastAsia" w:ascii="仿宋_GB2312" w:hAnsi="仿宋_GB2312" w:eastAsia="仿宋_GB2312" w:cs="仿宋_GB2312"/>
          <w:sz w:val="32"/>
          <w:szCs w:val="32"/>
          <w:lang w:val="en-US" w:eastAsia="zh-CN" w:bidi="ar"/>
        </w:rPr>
        <w:t xml:space="preserve">  从事动物饲养、屠宰、经营、隔离、运输、诊疗、无害化处理、演出、比赛、展览、研究实验以及动物产品生产、经营、加工、贮藏、运输等活动的单位和个人，应当依法做好免疫、消毒、检测、隔离、净化、消灭、无害化处理、疫情报告以及相关信息记录等工作，承担动物防疫相关责任，并接受有关部门的监督和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鼓励社会力量参与免疫接种、疫病检测、无害化处理等动物防疫工作，支持单位和个人参与动物防疫的宣传教育、疫情报告、志愿服务和捐赠等活动。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动物防疫相关行业协会应当加强行业自律，按照章程建立健全行业规范和奖惩机制，推动行业诚信建设，维护会员合法权益，提供动物防疫相关信息、技术、培训等服务，宣传动物防疫知识。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 xml:space="preserve">第八条【宣传培训】 </w:t>
      </w:r>
      <w:r>
        <w:rPr>
          <w:rStyle w:val="17"/>
          <w:rFonts w:hint="eastAsia" w:ascii="仿宋_GB2312" w:hAnsi="仿宋_GB2312" w:eastAsia="仿宋_GB2312" w:cs="仿宋_GB2312"/>
          <w:sz w:val="32"/>
          <w:szCs w:val="32"/>
          <w:lang w:val="en-US" w:eastAsia="zh-CN" w:bidi="ar"/>
        </w:rPr>
        <w:t xml:space="preserve"> 地方各级人民政府和有关部门、新闻媒体，应当加强动物防疫法律法规和动物防疫知识的宣传，增强社会公众的动物防疫意识。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县级以上地方人民政府农业农村主管部门应当组织做好基层动物防疫人员的技术培训工作。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从事动物饲养、屠宰、经营、隔离、运输、诊疗以及动物产品生产、经营、加工、贮藏、运输等活动的单位，应当加强对本单位职工动物防疫法律法规和动物防疫知识的教育培训。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第九条【区域协作】</w:t>
      </w:r>
      <w:r>
        <w:rPr>
          <w:rStyle w:val="17"/>
          <w:rFonts w:hint="eastAsia" w:ascii="微软雅黑" w:hAnsi="微软雅黑" w:eastAsia="微软雅黑" w:cs="微软雅黑"/>
          <w:sz w:val="32"/>
          <w:szCs w:val="32"/>
          <w:lang w:val="en-US" w:eastAsia="zh-CN" w:bidi="ar"/>
        </w:rPr>
        <w:t xml:space="preserve"> </w:t>
      </w:r>
      <w:r>
        <w:rPr>
          <w:rStyle w:val="17"/>
          <w:rFonts w:hint="eastAsia" w:ascii="仿宋_GB2312" w:hAnsi="仿宋_GB2312" w:eastAsia="仿宋_GB2312" w:cs="仿宋_GB2312"/>
          <w:sz w:val="32"/>
          <w:szCs w:val="32"/>
          <w:lang w:val="en-US" w:eastAsia="zh-CN" w:bidi="ar"/>
        </w:rPr>
        <w:t xml:space="preserve"> 本省加强成渝地区双城经济圈以及与其他省、自治区、直辖市的动物防疫工作协作，建立健全动物疫病预防与控制、动物检验与检疫、动物防疫执法与监督管理等方面的合作机制，推进信息交流、资源共享、联防联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各市（州）、县（市、区）应当加强动物防疫工作协同，实现信息交流、资源共享、联防联控、执法协作，保障区域公共卫生安全。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第十条【风险评估】</w:t>
      </w:r>
      <w:r>
        <w:rPr>
          <w:rStyle w:val="17"/>
          <w:rFonts w:hint="eastAsia" w:ascii="仿宋_GB2312" w:hAnsi="仿宋_GB2312" w:eastAsia="仿宋_GB2312" w:cs="仿宋_GB2312"/>
          <w:sz w:val="32"/>
          <w:szCs w:val="32"/>
          <w:lang w:val="en-US" w:eastAsia="zh-CN" w:bidi="ar"/>
        </w:rPr>
        <w:t xml:space="preserve">  省人民政府农业农村主管部门会同卫生健康、疾病预防控制等有关部门对本省的动物疫病进行风险评估，并落实动物疫病预防、控制、净化、消灭措施。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省人民政府农业农村主管部门可以根据行政区划、养殖屠宰产业布局、动物疫情风险评估结果，作出禁止或者限制从省外动物疫病风险区域调入或者从省内动物疫病风险区域调出特定动物、动物产品的决定。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第十一条【强制免疫】</w:t>
      </w:r>
      <w:r>
        <w:rPr>
          <w:rStyle w:val="17"/>
          <w:rFonts w:hint="eastAsia" w:ascii="仿宋_GB2312" w:hAnsi="仿宋_GB2312" w:eastAsia="仿宋_GB2312" w:cs="仿宋_GB2312"/>
          <w:sz w:val="32"/>
          <w:szCs w:val="32"/>
          <w:lang w:val="en-US" w:eastAsia="zh-CN" w:bidi="ar"/>
        </w:rPr>
        <w:t xml:space="preserve">  省人民政府农业农村主管部门应当根据国务院农业农村主管部门确定的强制免疫动物疫病病种和区域，制定本省的强制免疫计划；根据本省动物疫病流行情况，增加实施强制免疫的动物疫病病种和区域，报省人民政府批准后执行，并报国务院农业农村主管部门备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市（州）、县（市、区）人民政府农业农村主管部门应当根据省动物疫病强制免疫计划，结合本行政区域动物疫病流行情况，制定动物疫病强制免疫实施方案并组织实施和监督检查。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乡级人民政府、街道办事处组织本辖区饲养动物的单位和个人做好强制免疫，协助做好监督检查；村民委员会、居民委员会协助做好相关工作。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县级以上地方人民政府农业农村主管部门应当定期对本行政区域的强制免疫计划实施情况和效果进行评估，并向社会公布评估结果。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第十二条【疫病监测和预警】</w:t>
      </w:r>
      <w:r>
        <w:rPr>
          <w:rStyle w:val="17"/>
          <w:rFonts w:hint="eastAsia" w:ascii="仿宋_GB2312" w:hAnsi="仿宋_GB2312" w:eastAsia="仿宋_GB2312" w:cs="仿宋_GB2312"/>
          <w:sz w:val="32"/>
          <w:szCs w:val="32"/>
          <w:lang w:val="en-US" w:eastAsia="zh-CN" w:bidi="ar"/>
        </w:rPr>
        <w:t xml:space="preserve">  县级以上地方人民政府应当建立健全动物疫病监测网络，加强动物疫病监测和流行病学调查。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省人民政府农业农村主管部门根据国家动物疫病监测计划，制定本行政区域的动物疫病监测计划和流行病学调查计划并组织实施；有关单位和个人应当予以配合，不得拒绝或者阻碍。市（州）人民政府农业农村主管部门应当结合实际制定本行政区域的动物疫病监测和流行病学调查具体实施方案，并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省人民政府农业农村主管部门根据对动物疫病发生、流行趋势的预测，及时发出动物疫情预警。需要省人民政府采取措施的，省人民政府农业农村主管部门应当及时报告。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地方各级人民政府接到动物疫情预警后，应当及时采取预防、控制措施。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第十三条【动物疫病净化、消灭】</w:t>
      </w:r>
      <w:r>
        <w:rPr>
          <w:rStyle w:val="17"/>
          <w:rFonts w:hint="eastAsia" w:ascii="仿宋_GB2312" w:hAnsi="仿宋_GB2312" w:eastAsia="仿宋_GB2312" w:cs="仿宋_GB2312"/>
          <w:sz w:val="32"/>
          <w:szCs w:val="32"/>
          <w:lang w:val="en-US" w:eastAsia="zh-CN" w:bidi="ar"/>
        </w:rPr>
        <w:t xml:space="preserve">  省人民政府应当推动建立无规定动物疫病区，制定并组织实施本省无规定动物疫病区建设方案。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县级以上地方人民政府应当加强无规定动物疫病区的管理，制定并组织实施本行政区域的动物疫病净化、消灭计划，鼓励动物饲养场建设无规定动物疫病生物安全隔离区和动物疫病净化场。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种畜禽场、奶畜场应当开展主要动物疫病净化。各级动物疫病预防控制机构应当健全动物疫病净化场评估管理制度，对净化效果进行监测和评估。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对建成并通过验收的无规定动物疫病生物安全隔离区或者达到省级以上净化标准的动物饲养场，县级以上地方人民政府可以在资金、政策等方面予以支持。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第十四条【人畜共患传染病预防】</w:t>
      </w:r>
      <w:r>
        <w:rPr>
          <w:rStyle w:val="17"/>
          <w:rFonts w:hint="eastAsia" w:ascii="仿宋_GB2312" w:hAnsi="仿宋_GB2312" w:eastAsia="仿宋_GB2312" w:cs="仿宋_GB2312"/>
          <w:sz w:val="32"/>
          <w:szCs w:val="32"/>
          <w:lang w:val="en-US" w:eastAsia="zh-CN" w:bidi="ar"/>
        </w:rPr>
        <w:t xml:space="preserve">  县级以上地方人民政府农业农村主管部门和卫生健康、疾病预防控制、林业草原等有关部门，应当建立健全人畜共患传染病防治的协作机制，组织开展易感动物和相关人群的人畜共患传染病监测工作，定期通报监测结果；发生人畜共患传染病时，应当及时相互通报信息，并按照各自职责采取相应的防控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第十五条【犬只防疫管理】</w:t>
      </w:r>
      <w:r>
        <w:rPr>
          <w:rStyle w:val="17"/>
          <w:rFonts w:hint="eastAsia" w:ascii="仿宋_GB2312" w:hAnsi="仿宋_GB2312" w:eastAsia="仿宋_GB2312" w:cs="仿宋_GB2312"/>
          <w:sz w:val="32"/>
          <w:szCs w:val="32"/>
          <w:lang w:val="en-US" w:eastAsia="zh-CN" w:bidi="ar"/>
        </w:rPr>
        <w:t xml:space="preserve">  单位和个人饲养犬只，应当按照规定定期免疫接种狂犬病疫苗，凭动物诊疗机构出具的免疫证明向所在地养犬登记机关申请登记。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携带犬只出户的，应当按照规定佩戴犬牌并采取系犬绳等措施，并及时清除犬只排泄的粪便，防止犬只伤人、疫病传播。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乡镇人民政府、街道办事处组织协调村民委员会、居民委员会，做好本辖区流浪犬、猫的控制和处置，防止疫病传播。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县（市、区）人民政府和乡镇人民政府、街道办事处应当结合本地实际，做好农村地区饲养犬只的防疫管理工作。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养犬登记机关由县级以上地方人民政府指定。饲养犬只管理的具体办法，由市（州）结合本地实际制定。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第十六条【狂犬病免疫接种点】</w:t>
      </w:r>
      <w:r>
        <w:rPr>
          <w:rStyle w:val="17"/>
          <w:rFonts w:hint="eastAsia" w:ascii="仿宋_GB2312" w:hAnsi="仿宋_GB2312" w:eastAsia="仿宋_GB2312" w:cs="仿宋_GB2312"/>
          <w:sz w:val="32"/>
          <w:szCs w:val="32"/>
          <w:lang w:val="en-US" w:eastAsia="zh-CN" w:bidi="ar"/>
        </w:rPr>
        <w:t xml:space="preserve">  县（市、区）农业农村主管部门应当确定并公布狂犬病免疫接种点，并加强监督检查，依法查处出具虚假狂犬病免疫证明和使用假、劣狂犬病疫苗等违法违规行为。县（市、区）农业农村主管部门或者乡镇人民政府、街道办事处可以聘用动物防疫员实施犬只免疫接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狂犬病免疫点应当在醒目位置悬挂免疫点标牌，独立设置免疫室或免疫区；对犬只实施免疫接种，应当建立免疫档案，记录相关信息，出具免疫证明。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第十七条【动物疫情应急准备】</w:t>
      </w:r>
      <w:r>
        <w:rPr>
          <w:rStyle w:val="17"/>
          <w:rFonts w:hint="eastAsia" w:ascii="仿宋_GB2312" w:hAnsi="仿宋_GB2312" w:eastAsia="仿宋_GB2312" w:cs="仿宋_GB2312"/>
          <w:sz w:val="32"/>
          <w:szCs w:val="32"/>
          <w:lang w:val="en-US" w:eastAsia="zh-CN" w:bidi="ar"/>
        </w:rPr>
        <w:t xml:space="preserve">  县级以上地方人民政府应当根据上级重大动物疫情应急预案和本地区的实际情况，制定本行政区域的重大动物疫情应急预案，报上一级人民政府农业农村主管部门备案，并抄送上一级人民政府应急管理部门和有关部门。县级以上地方人民政府农业农村主管部门按照不同动物疫病病种、流行特点和危害程度，分别制定实施方案。重大动物疫情应急预案应当适时修改、完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县级以上地方人民政府应当根据重大动物疫情应急需要，按照规定成立应急预备队。乡镇人民政府、街道办事处应当确定重大动物疫情应急处置预备人员。应急预备队和应急处置预备人员应当进行培训和演练。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县级以上地方人民政府及其有关部门应当建立健全重大动物疫情应急物资储备制度，根据重大动物疫情应急预案的要求，确保应急处理所需物资储备。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第十八条【单位和个人应急准备义务】</w:t>
      </w:r>
      <w:r>
        <w:rPr>
          <w:rStyle w:val="17"/>
          <w:rFonts w:hint="eastAsia" w:ascii="仿宋_GB2312" w:hAnsi="仿宋_GB2312" w:eastAsia="仿宋_GB2312" w:cs="仿宋_GB2312"/>
          <w:sz w:val="32"/>
          <w:szCs w:val="32"/>
          <w:lang w:val="en-US" w:eastAsia="zh-CN" w:bidi="ar"/>
        </w:rPr>
        <w:t xml:space="preserve">  动物饲养场、动物隔离场所、动物屠宰厂（场）、活畜禽交易市场和无害化处理场应当按照重大动物疫情应急预案的要求，制定重大动物疫情应急工作方案，确定重大动物疫情应急预备人员，储备必要的应急处理所需物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第十九条【应急处置衔接规定】</w:t>
      </w:r>
      <w:r>
        <w:rPr>
          <w:rStyle w:val="17"/>
          <w:rFonts w:hint="eastAsia" w:ascii="仿宋_GB2312" w:hAnsi="仿宋_GB2312" w:eastAsia="仿宋_GB2312" w:cs="仿宋_GB2312"/>
          <w:sz w:val="32"/>
          <w:szCs w:val="32"/>
          <w:lang w:val="en-US" w:eastAsia="zh-CN" w:bidi="ar"/>
        </w:rPr>
        <w:t xml:space="preserve">  重大动物疫情的报告、认定、通报、公布和处置等，依照国家法律、行政法规执行。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第二十条【动物检疫要求】</w:t>
      </w:r>
      <w:r>
        <w:rPr>
          <w:rStyle w:val="17"/>
          <w:rFonts w:hint="eastAsia" w:ascii="仿宋_GB2312" w:hAnsi="仿宋_GB2312" w:eastAsia="仿宋_GB2312" w:cs="仿宋_GB2312"/>
          <w:sz w:val="32"/>
          <w:szCs w:val="32"/>
          <w:lang w:val="en-US" w:eastAsia="zh-CN" w:bidi="ar"/>
        </w:rPr>
        <w:t xml:space="preserve">  屠宰、经营、运输的动物，以及用于科研、展示、演出和比赛等非食用性利用的动物，应当附有检疫证明；经营和运输的动物产品，应当附有检疫证明、检疫标志。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第二十一条【动物检疫申报】</w:t>
      </w:r>
      <w:r>
        <w:rPr>
          <w:rStyle w:val="17"/>
          <w:rFonts w:hint="eastAsia" w:ascii="仿宋_GB2312" w:hAnsi="仿宋_GB2312" w:eastAsia="仿宋_GB2312" w:cs="仿宋_GB2312"/>
          <w:sz w:val="32"/>
          <w:szCs w:val="32"/>
          <w:lang w:val="en-US" w:eastAsia="zh-CN" w:bidi="ar"/>
        </w:rPr>
        <w:t xml:space="preserve">  动物检疫实行申报制度。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县级以上地方人民政府应当加强动物检疫申报点的建设，为其配备必要的设备。动物卫生监督机构应当向社会公布动物检疫申报点、检疫范围和检疫对象。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动物饲养场出售或者运输动物的，应当按照规定时限向所在地承担动物检疫职责的机构申报检疫；收购贩运单位或者个人代为申报的，应当出具委托书，提供申报材料。动物屠宰厂（场）屠宰动物的，应当提前向所在地承担动物检疫职责的机构申报检疫；急宰动物的，可以随时申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输入到无规定动物疫病区的动物、动物产品，货主应当向无规定动物疫病区所在地动物卫生监督机构申报检疫，检疫合格的方可进入。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第二十二条【动物检疫实施】</w:t>
      </w:r>
      <w:r>
        <w:rPr>
          <w:rStyle w:val="17"/>
          <w:rFonts w:hint="eastAsia" w:ascii="仿宋_GB2312" w:hAnsi="仿宋_GB2312" w:eastAsia="仿宋_GB2312" w:cs="仿宋_GB2312"/>
          <w:sz w:val="32"/>
          <w:szCs w:val="32"/>
          <w:lang w:val="en-US" w:eastAsia="zh-CN" w:bidi="ar"/>
        </w:rPr>
        <w:t xml:space="preserve">  动物卫生监督机构依法对动物、动物产品实施检疫，其官方兽医具体实施动物、动物产品检疫。</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动物卫生监督机构受理检疫申报后，应当及时指派官方兽医对动物或者动物产品实施检疫。检疫合格的，出具检疫合格证明、加施检疫标志；检疫不合格的，由官方兽医出具处理通知单，并报告同级农业农村主管部门。农业农村主管部门接到报告后，应当及时派监管人员到现场，监督货主按照国家有关规定处理，处理费用由货主承担。为防止动物疫病传播，已进入动物屠宰厂（场）的动物禁止外运出场；因不可抗力等特殊情况确需外运出场的，应当经所在地农业农村主管部门同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动物饲养场、屠宰厂（场）的执业兽医或者动物防疫技术人员，应当协助官方兽医实施检疫。</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 xml:space="preserve">第二十三条【官方兽医管理】 </w:t>
      </w:r>
      <w:r>
        <w:rPr>
          <w:rStyle w:val="17"/>
          <w:rFonts w:hint="eastAsia" w:ascii="仿宋_GB2312" w:hAnsi="仿宋_GB2312" w:eastAsia="仿宋_GB2312" w:cs="仿宋_GB2312"/>
          <w:sz w:val="32"/>
          <w:szCs w:val="32"/>
          <w:lang w:val="en-US" w:eastAsia="zh-CN" w:bidi="ar"/>
        </w:rPr>
        <w:t xml:space="preserve"> 县（市、区）人民政府应当为动物卫生监督机构配备与动物、动物产品检疫工作相适应的官方兽医，保障检疫工作条件。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县（市、区）人民政府农业农村部门可以根据工作需要向乡镇或者街道派驻官方兽医实施动物、动物产品的检疫相关工作，也可以委托有官方兽医的乡镇人民政府或者街道办事处实施。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动物卫生监督机构人员执行监督检查和官方兽医实施检疫时，应当规范着装，统一标识，持证上岗。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第二十四条【屠宰厂管理规定】</w:t>
      </w:r>
      <w:r>
        <w:rPr>
          <w:rStyle w:val="17"/>
          <w:rFonts w:hint="eastAsia" w:ascii="仿宋_GB2312" w:hAnsi="仿宋_GB2312" w:eastAsia="仿宋_GB2312" w:cs="仿宋_GB2312"/>
          <w:sz w:val="32"/>
          <w:szCs w:val="32"/>
          <w:lang w:val="en-US" w:eastAsia="zh-CN" w:bidi="ar"/>
        </w:rPr>
        <w:t xml:space="preserve">  动物屠宰厂（场）应当遵守以下规定：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（一）对进入动物屠宰厂（场）的动物进行入场查验，无畜禽标识和动物检疫合格证明的，不得入场；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（二）为动物检疫提供必要的场所和条件；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（三）对检疫不合格的动物、动物产品，按照国家技术规范处理；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（四）建立和遵守动物进场查验登记、动物产品出场登记、检疫申报、疫情报告、无害化处理等动物防疫制度。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（五）法律、行政法规规定的其他事项。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第二十五条【入川动物运输规定】</w:t>
      </w:r>
      <w:r>
        <w:rPr>
          <w:rStyle w:val="17"/>
          <w:rFonts w:hint="eastAsia" w:ascii="仿宋_GB2312" w:hAnsi="仿宋_GB2312" w:eastAsia="仿宋_GB2312" w:cs="仿宋_GB2312"/>
          <w:sz w:val="32"/>
          <w:szCs w:val="32"/>
          <w:lang w:val="en-US" w:eastAsia="zh-CN" w:bidi="ar"/>
        </w:rPr>
        <w:t xml:space="preserve">  道路运输动物的车辆进入或者途经本省行政区域的，应当经由省人民政府确定并公布的入川动物运输指定通道通行，并接受查验。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入川动物运输指定通道检查站应对其实施查证、验物、消毒，经检查合格后登记、放行。以铁路、航空、航运等运输方式输入动物的，货主或者承运人应当提供相关运输凭证以备查验。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任何组织和个人不得接收未经指定通道检查站查验或者未提供铁路、航空、航运等运输凭证输入的动物。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第二十六条【动物运输一般规定】</w:t>
      </w:r>
      <w:r>
        <w:rPr>
          <w:rStyle w:val="17"/>
          <w:rFonts w:hint="eastAsia" w:ascii="仿宋_GB2312" w:hAnsi="仿宋_GB2312" w:eastAsia="仿宋_GB2312" w:cs="仿宋_GB2312"/>
          <w:sz w:val="32"/>
          <w:szCs w:val="32"/>
          <w:lang w:val="en-US" w:eastAsia="zh-CN" w:bidi="ar"/>
        </w:rPr>
        <w:t xml:space="preserve">  从事动物运输的单位、个人和车辆应当在所在地县（市、区）人民政府农业农村主管部门进行备案，并遵守以下规定：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（一）运载工具、垫料、包装物、容器等应当符合国务院农业农村主管部门规定的动物防疫要求；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（二）运输的动物具有对应的检疫证明；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（三）运输动物前、后对运输工具进行清洗、消毒；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四）建立运输台账，真实记录动物品种、数量、来源、免疫、检疫证明编号、畜禽标识及运输、销售、消毒以及运输活动中死亡、染疫或者疑似染疫动物的处置等信息。跨省运输畜禽的备案车辆卫星定位系统应当正常运行，且相关信息记录保存期限不得少于二个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（五）货主或承运人应当按照动物检疫证明载明的目的地运输，运输途中发生疫情的应当按有关规定报告并处置，除发生疫情、灾害、事故等不可抗力因素外，中途不得转运、销售、更换、增加动物、动物产品。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第二十七条【运输后报告】</w:t>
      </w:r>
      <w:r>
        <w:rPr>
          <w:rStyle w:val="17"/>
          <w:rFonts w:hint="eastAsia" w:ascii="仿宋_GB2312" w:hAnsi="仿宋_GB2312" w:eastAsia="仿宋_GB2312" w:cs="仿宋_GB2312"/>
          <w:sz w:val="32"/>
          <w:szCs w:val="32"/>
          <w:lang w:val="en-US" w:eastAsia="zh-CN" w:bidi="ar"/>
        </w:rPr>
        <w:t xml:space="preserve">  运输用于继续饲养或屠宰的畜禽到达目的地后，货主或者承运人应当在三日内向启运地县级动物卫生监督机构报告；目的地饲养场或者屠宰厂（场）应当在接收畜禽后三日内向所在地县级动物卫生监督机构报告。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跨省、自治区、直辖市引进的种用、乳用动物到达输入地后，货主应当按照国务院农业农村主管部门的规定对引进的种用、乳用动物进行隔离观察。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第二十八条【无害化处理要求】</w:t>
      </w:r>
      <w:r>
        <w:rPr>
          <w:rStyle w:val="17"/>
          <w:rFonts w:hint="eastAsia" w:ascii="仿宋_GB2312" w:hAnsi="仿宋_GB2312" w:eastAsia="仿宋_GB2312" w:cs="仿宋_GB2312"/>
          <w:sz w:val="32"/>
          <w:szCs w:val="32"/>
          <w:lang w:val="en-US" w:eastAsia="zh-CN" w:bidi="ar"/>
        </w:rPr>
        <w:t xml:space="preserve">  病死动物和病害动物产品应当按照规定进行无害化处理。病死畜禽和病害畜禽产品无害化处理以集中处理为主、自行处理为补充。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应当将病死动物和病害动物产品无害化集中处理纳入公共服务范围，统筹规划、合理布局，从资金、土地等方面支持病死动物和病害动物产品无害化处理设施、集中暂存设施和无害化处理产物资源化利用设施建设和运行，鼓励推广使用环保、高效、低耗能的设备及新工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动物饲养场、活畜禽交易市场、屠宰厂（场）、动物隔离场所、科研教学单位、动物诊疗机构等场所应当配备与其规模相适应且符合相关技术规范要求的病死动物暂存的冷藏冷冻设施设备。自行处理病死畜禽和病害畜禽产品的，应当符合无害化处理场所的动物防疫条件；不具备无害化处理条件的，应当委托专业的病死动物和病害动物产品无害化处理运营单位集中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从事动物、动物产品运输的单位和个人，应当配合做好病死动物和病害动物产品的无害化处理，不得在途中擅自弃置和处理有关动物和动物产品。任何单位和个人不得买卖、加工、随意弃置病死动物和病害动物产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第二十九条【无害化处理运营单位】</w:t>
      </w:r>
      <w:r>
        <w:rPr>
          <w:rStyle w:val="17"/>
          <w:rFonts w:hint="eastAsia" w:ascii="仿宋_GB2312" w:hAnsi="仿宋_GB2312" w:eastAsia="仿宋_GB2312" w:cs="仿宋_GB2312"/>
          <w:sz w:val="32"/>
          <w:szCs w:val="32"/>
          <w:lang w:val="en-US" w:eastAsia="zh-CN" w:bidi="ar"/>
        </w:rPr>
        <w:t xml:space="preserve">  病死动物和病害动物产品无害化处理运营单位应当建立管理制度和操作规程，对病死动物和病害动物产品及时进行无害化处理，并建立台账，真实记录病死动物和病害动物产品的收集、转运、处理和处理后产品流向等信息，防止流入食品加工领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病死动物和病害动物产品无害化处理运营单位应当向所在地县级动物卫生监督机构报告运营情况。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县级以上地方人民政府农业农村主管部门应当加强对病死动物无害化处理公共设施运营的监督管理，并将运营单位的责任区域和位置、联系方式向社会公布。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第三十条【染疫等情况死亡动物无害化处理】</w:t>
      </w:r>
      <w:r>
        <w:rPr>
          <w:rStyle w:val="17"/>
          <w:rFonts w:hint="eastAsia" w:ascii="仿宋_GB2312" w:hAnsi="仿宋_GB2312" w:eastAsia="仿宋_GB2312" w:cs="仿宋_GB2312"/>
          <w:sz w:val="32"/>
          <w:szCs w:val="32"/>
          <w:lang w:val="en-US" w:eastAsia="zh-CN" w:bidi="ar"/>
        </w:rPr>
        <w:t xml:space="preserve">  发生重大动物疫情或者人畜共患传染病时，对病死动物和依法扑杀的动物，应当按照相关动物疫病应急预案和防治技术规范进行无害化处理。临时动物防疫检查站和入川指定通道检查站在监督检查中发现的病死动物和依法扑杀的动物，按照国家有关规定进行无害化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在江河、湖泊、水库等水域发现的死亡畜禽，由所在地县级人民政府组织收集、处理并溯源。在城市公共场所和乡村发现的死亡畜禽，由所在地街道办事处、乡级人民政府组织收集、处理并溯源。在野外环境发现的死亡野生动物，由所在地野生动物保护主管部门收集、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第三十一条【保险支持】</w:t>
      </w:r>
      <w:r>
        <w:rPr>
          <w:rStyle w:val="17"/>
          <w:rFonts w:hint="eastAsia" w:ascii="仿宋_GB2312" w:hAnsi="仿宋_GB2312" w:eastAsia="仿宋_GB2312" w:cs="仿宋_GB2312"/>
          <w:sz w:val="32"/>
          <w:szCs w:val="32"/>
          <w:lang w:val="en-US" w:eastAsia="zh-CN" w:bidi="ar"/>
        </w:rPr>
        <w:t xml:space="preserve">  县级以上地方人民政府应当通过财政补贴等方式鼓励饲养动物的单位和个人参加政策性农业保险。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享受政府保费补贴的保险合同发生保险理赔的，在对死亡动物进行无害化处理后依据保险合同予以理赔。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第三十二条【补偿政策】</w:t>
      </w:r>
      <w:r>
        <w:rPr>
          <w:rStyle w:val="17"/>
          <w:rFonts w:hint="eastAsia" w:ascii="仿宋_GB2312" w:hAnsi="仿宋_GB2312" w:eastAsia="仿宋_GB2312" w:cs="仿宋_GB2312"/>
          <w:sz w:val="32"/>
          <w:szCs w:val="32"/>
          <w:lang w:val="en-US" w:eastAsia="zh-CN" w:bidi="ar"/>
        </w:rPr>
        <w:t xml:space="preserve">  对在动物疫病预防、控制、净化、消灭过程中强制扑杀的动物、销毁的动物产品和相关物品，或者因依法实施强制免疫造成动物应激死亡的，县级以上地方人民政府应当按照国家规定给予补偿。因饲养单位和个人未按照规定实施强制免疫而发生疫情的，动物被扑杀的损失以及处理费用，由饲养单位和个人承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第三十三条【禁止性规定】</w:t>
      </w:r>
      <w:r>
        <w:rPr>
          <w:rStyle w:val="17"/>
          <w:rFonts w:hint="eastAsia" w:ascii="仿宋_GB2312" w:hAnsi="仿宋_GB2312" w:eastAsia="仿宋_GB2312" w:cs="仿宋_GB2312"/>
          <w:sz w:val="32"/>
          <w:szCs w:val="32"/>
          <w:lang w:val="en-US" w:eastAsia="zh-CN" w:bidi="ar"/>
        </w:rPr>
        <w:t xml:space="preserve">  禁止屠宰、经营、运输下列动物和生产、经营、加工、贮藏、运输下列动物产品：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（一）封锁疫区内与所发生动物疫病有关的；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（二）疫区内易感染的；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（三）依法应当检疫而未经检疫或者检疫不合格的；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（四）染疫或者疑似染疫的；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（五）病死或者死因不明的；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（六）法律、法规禁止的其他情形。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因实施集中无害化处理需要暂存、运输动物和动物产品并按照规定采取防疫措施的，不适用前款规定。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第三十四条【动物诊疗机构和人员管理】</w:t>
      </w:r>
      <w:r>
        <w:rPr>
          <w:rStyle w:val="17"/>
          <w:rFonts w:hint="eastAsia" w:ascii="仿宋_GB2312" w:hAnsi="仿宋_GB2312" w:eastAsia="仿宋_GB2312" w:cs="仿宋_GB2312"/>
          <w:sz w:val="32"/>
          <w:szCs w:val="32"/>
          <w:lang w:val="en-US" w:eastAsia="zh-CN" w:bidi="ar"/>
        </w:rPr>
        <w:t xml:space="preserve">  从事动物诊疗活动的机构，应当依法取得动物诊疗许可证。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从事动物诊疗或者诊疗辅助活动的人员，应当按照国家规定取得执业兽医师资格证书或者执业助理兽医师资格证书，凭与具备诊疗条件的单位签订的劳动合同，向所在地县级农业农村主管部门申请备案。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乡村兽医应当在备案机关所在县域的乡村从事动物诊疗活动，不得在城区从业。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第三十五条【动物诊疗活动管理要求】</w:t>
      </w:r>
      <w:r>
        <w:rPr>
          <w:rStyle w:val="17"/>
          <w:rFonts w:hint="eastAsia" w:ascii="仿宋_GB2312" w:hAnsi="仿宋_GB2312" w:eastAsia="仿宋_GB2312" w:cs="仿宋_GB2312"/>
          <w:sz w:val="32"/>
          <w:szCs w:val="32"/>
          <w:lang w:val="en-US" w:eastAsia="zh-CN" w:bidi="ar"/>
        </w:rPr>
        <w:t xml:space="preserve">  从事动物诊疗和诊疗辅助活动，应当遵守有关动物诊疗的操作技术规范，使用符合国家规定的兽药和兽医器械，禁止使用人用药品。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动物诊疗机构应当在诊疗场所的显著位置悬挂动物诊疗许可证，公示从业人员基本情况，并定期向县级人民政府农业农村主管部门报告动物诊疗活动情况。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 xml:space="preserve">动物诊疗机构兼营动物用品、动物饲料、动物美容、动物寄养等项目的，应当按照规定落实防疫措施，对兼营区域和动物诊疗区域进行隔离、分区管理。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动物需要手术治疗的，动物诊疗机构应当将治疗方案、预后情况等书面告知动物饲养人。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第三十六条【动物防疫人员保障】</w:t>
      </w:r>
      <w:r>
        <w:rPr>
          <w:rStyle w:val="17"/>
          <w:rFonts w:hint="eastAsia" w:ascii="仿宋_GB2312" w:hAnsi="仿宋_GB2312" w:eastAsia="仿宋_GB2312" w:cs="仿宋_GB2312"/>
          <w:sz w:val="32"/>
          <w:szCs w:val="32"/>
          <w:lang w:val="en-US" w:eastAsia="zh-CN" w:bidi="ar"/>
        </w:rPr>
        <w:t xml:space="preserve">  对从事动物疫病预防、检疫、监督检查、现场处理疫情以及在工作中接触动物疫病病原体的人员，有关单位按照国家规定，采取有效的卫生防护、医疗保健措施，给予畜牧兽医医疗卫生津贴等相关待遇。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仿宋_GB2312" w:hAnsi="仿宋_GB2312" w:eastAsia="仿宋_GB2312" w:cs="仿宋_GB2312"/>
          <w:sz w:val="32"/>
          <w:szCs w:val="32"/>
          <w:lang w:val="en-US" w:eastAsia="zh-CN" w:bidi="ar"/>
        </w:rPr>
        <w:t>有关单位应当依法为动物防疫人员缴纳工伤保险费。对因参与动物防疫工作致病、致残、死亡的人员，按照国家有关规定给予补助或者抚恤。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第三十七条【法律责任衔接规定】</w:t>
      </w:r>
      <w:r>
        <w:rPr>
          <w:rStyle w:val="17"/>
          <w:rFonts w:hint="eastAsia" w:ascii="仿宋_GB2312" w:hAnsi="仿宋_GB2312" w:eastAsia="仿宋_GB2312" w:cs="仿宋_GB2312"/>
          <w:sz w:val="32"/>
          <w:szCs w:val="32"/>
          <w:lang w:val="en-US" w:eastAsia="zh-CN" w:bidi="ar"/>
        </w:rPr>
        <w:t xml:space="preserve">  违反本实施办法规定的行为，法律、法规已有处罚规定的，从其规定。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第三十八条【国家工作人员法律责任】</w:t>
      </w:r>
      <w:r>
        <w:rPr>
          <w:rStyle w:val="17"/>
          <w:rFonts w:hint="eastAsia" w:ascii="仿宋_GB2312" w:hAnsi="仿宋_GB2312" w:eastAsia="仿宋_GB2312" w:cs="仿宋_GB2312"/>
          <w:sz w:val="32"/>
          <w:szCs w:val="32"/>
          <w:lang w:val="en-US" w:eastAsia="zh-CN" w:bidi="ar"/>
        </w:rPr>
        <w:t xml:space="preserve">  县级以上地方人民政府农业农村等有关部门、动物卫生监督机构、动物疫病预防控制机构及其工作人员滥用职权、玩忽职守、徇私舞弊的，依法予以处分；构成犯罪的，依法追究刑事责任。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17"/>
          <w:rFonts w:hint="eastAsia" w:ascii="仿宋_GB2312" w:hAnsi="仿宋_GB2312" w:eastAsia="仿宋_GB2312" w:cs="仿宋_GB2312"/>
          <w:sz w:val="32"/>
          <w:szCs w:val="32"/>
          <w:lang w:val="en-US" w:eastAsia="zh-CN" w:bidi="ar"/>
        </w:rPr>
      </w:pPr>
      <w:r>
        <w:rPr>
          <w:rStyle w:val="17"/>
          <w:rFonts w:hint="eastAsia" w:ascii="黑体" w:hAnsi="黑体" w:eastAsia="黑体" w:cs="黑体"/>
          <w:sz w:val="32"/>
          <w:szCs w:val="32"/>
          <w:lang w:val="en-US" w:eastAsia="zh-CN" w:bidi="ar"/>
        </w:rPr>
        <w:t>第三十九条【中途转运、销售、更换、增加动物和动物产品法律责任】</w:t>
      </w:r>
      <w:r>
        <w:rPr>
          <w:rStyle w:val="17"/>
          <w:rFonts w:hint="eastAsia" w:ascii="仿宋_GB2312" w:hAnsi="仿宋_GB2312" w:eastAsia="仿宋_GB2312" w:cs="仿宋_GB2312"/>
          <w:sz w:val="32"/>
          <w:szCs w:val="32"/>
          <w:lang w:val="en-US" w:eastAsia="zh-CN" w:bidi="ar"/>
        </w:rPr>
        <w:t xml:space="preserve">  违反第二十六条第（五）项规定，货主或者承运人中途转运、销售、更换、增加动物和动物产品的，由县级以上地方人民政府农业农村主管部门责令改正，并处5千元以上3万元以下罚款。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outlineLvl w:val="1"/>
        <w:rPr>
          <w:color w:val="auto"/>
        </w:rPr>
      </w:pPr>
      <w:r>
        <w:rPr>
          <w:rStyle w:val="17"/>
          <w:rFonts w:hint="eastAsia" w:ascii="黑体" w:hAnsi="黑体" w:eastAsia="黑体" w:cs="黑体"/>
          <w:sz w:val="32"/>
          <w:szCs w:val="32"/>
          <w:lang w:val="en-US" w:eastAsia="zh-CN" w:bidi="ar"/>
        </w:rPr>
        <w:t>第四十条【施行时间】</w:t>
      </w:r>
      <w:r>
        <w:rPr>
          <w:rStyle w:val="17"/>
          <w:rFonts w:hint="eastAsia" w:ascii="仿宋_GB2312" w:hAnsi="仿宋_GB2312" w:eastAsia="仿宋_GB2312" w:cs="仿宋_GB2312"/>
          <w:sz w:val="32"/>
          <w:szCs w:val="32"/>
          <w:lang w:val="en-US" w:eastAsia="zh-CN" w:bidi="ar"/>
        </w:rPr>
        <w:t xml:space="preserve">  本实施办法自    年  月  日起施行。</w:t>
      </w:r>
    </w:p>
    <w:p>
      <w:pPr>
        <w:keepNext w:val="0"/>
        <w:keepLines w:val="0"/>
        <w:pageBreakBefore w:val="0"/>
        <w:kinsoku/>
        <w:wordWrap/>
        <w:overflowPunct/>
        <w:topLinePunct w:val="0"/>
        <w:autoSpaceDE/>
        <w:autoSpaceDN/>
        <w:bidi w:val="0"/>
        <w:spacing w:line="579" w:lineRule="exact"/>
        <w:ind w:firstLine="0" w:firstLineChars="0"/>
        <w:jc w:val="both"/>
        <w:textAlignment w:val="auto"/>
        <w:rPr>
          <w:rFonts w:hint="default" w:ascii="Times New Roman" w:hAnsi="Times New Roman" w:eastAsia="黑体" w:cs="Times New Roman"/>
          <w:b w:val="0"/>
          <w:bCs w:val="0"/>
          <w:color w:val="auto"/>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pPr>
                  <w:pStyle w:val="9"/>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- 1 -</w:t>
                </w:r>
                <w:r>
                  <w:rPr>
                    <w:rFonts w:hint="eastAsia" w:ascii="宋体" w:hAnsi="宋体"/>
                    <w:sz w:val="28"/>
                    <w:szCs w:val="28"/>
                  </w:rPr>
                  <w:fldChar w:fldCharType="end"/>
                </w:r>
                <w:r>
                  <w:rPr>
                    <w:rFonts w:hint="eastAsia" w:ascii="宋体" w:hAnsi="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true"/>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5987338"/>
    <w:rsid w:val="1CC41839"/>
    <w:rsid w:val="221D20F7"/>
    <w:rsid w:val="268B33C8"/>
    <w:rsid w:val="2920429C"/>
    <w:rsid w:val="2C44189F"/>
    <w:rsid w:val="30B5370F"/>
    <w:rsid w:val="390F1C37"/>
    <w:rsid w:val="3ABE5BD3"/>
    <w:rsid w:val="43577787"/>
    <w:rsid w:val="4514279E"/>
    <w:rsid w:val="45987338"/>
    <w:rsid w:val="46193840"/>
    <w:rsid w:val="462417D4"/>
    <w:rsid w:val="4A5C2802"/>
    <w:rsid w:val="5A8913F1"/>
    <w:rsid w:val="618E6483"/>
    <w:rsid w:val="64257AC8"/>
    <w:rsid w:val="64FF6BAD"/>
    <w:rsid w:val="65DC0B54"/>
    <w:rsid w:val="69324EDA"/>
    <w:rsid w:val="6B3C600C"/>
    <w:rsid w:val="6C2316DC"/>
    <w:rsid w:val="705B7BB5"/>
    <w:rsid w:val="72CD5296"/>
    <w:rsid w:val="74C12A19"/>
    <w:rsid w:val="751876EA"/>
    <w:rsid w:val="7CE05C00"/>
    <w:rsid w:val="7DB03F97"/>
    <w:rsid w:val="FFFFF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Lines="0" w:beforeAutospacing="0" w:afterLines="0" w:afterAutospacing="0" w:line="560" w:lineRule="exact"/>
      <w:ind w:firstLine="880" w:firstLineChars="200"/>
      <w:outlineLvl w:val="2"/>
    </w:pPr>
    <w:rPr>
      <w:rFonts w:ascii="Times New Roman" w:hAnsi="Times New Roman" w:eastAsia="楷体"/>
      <w:sz w:val="32"/>
      <w:szCs w:val="32"/>
    </w:rPr>
  </w:style>
  <w:style w:type="paragraph" w:styleId="4">
    <w:name w:val="heading 4"/>
    <w:basedOn w:val="1"/>
    <w:next w:val="1"/>
    <w:unhideWhenUsed/>
    <w:qFormat/>
    <w:uiPriority w:val="0"/>
    <w:pPr>
      <w:keepNext/>
      <w:keepLines/>
      <w:spacing w:beforeLines="0" w:beforeAutospacing="0" w:afterLines="0" w:afterAutospacing="0" w:line="560" w:lineRule="exact"/>
      <w:ind w:firstLine="880" w:firstLineChars="200"/>
      <w:outlineLvl w:val="3"/>
    </w:pPr>
    <w:rPr>
      <w:rFonts w:ascii="Times New Roman" w:hAnsi="Times New Roman" w:eastAsia="仿宋_GB2312"/>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0"/>
    <w:pPr>
      <w:widowControl w:val="0"/>
      <w:jc w:val="both"/>
    </w:pPr>
    <w:rPr>
      <w:rFonts w:ascii="Arial" w:hAnsi="Arial" w:eastAsia="宋体" w:cs="Times New Roman"/>
      <w:kern w:val="2"/>
      <w:sz w:val="24"/>
      <w:szCs w:val="24"/>
      <w:lang w:val="en-US" w:eastAsia="zh-CN" w:bidi="ar-SA"/>
    </w:rPr>
  </w:style>
  <w:style w:type="paragraph" w:styleId="5">
    <w:name w:val="index 6"/>
    <w:basedOn w:val="1"/>
    <w:next w:val="1"/>
    <w:qFormat/>
    <w:uiPriority w:val="0"/>
    <w:pPr>
      <w:ind w:left="2100"/>
    </w:pPr>
    <w:rPr>
      <w:rFonts w:eastAsia="宋体"/>
    </w:rPr>
  </w:style>
  <w:style w:type="paragraph" w:styleId="6">
    <w:name w:val="Salutation"/>
    <w:basedOn w:val="1"/>
    <w:next w:val="1"/>
    <w:unhideWhenUsed/>
    <w:qFormat/>
    <w:uiPriority w:val="99"/>
    <w:rPr>
      <w:szCs w:val="24"/>
    </w:rPr>
  </w:style>
  <w:style w:type="paragraph" w:styleId="7">
    <w:name w:val="Body Text"/>
    <w:basedOn w:val="1"/>
    <w:next w:val="1"/>
    <w:qFormat/>
    <w:uiPriority w:val="0"/>
    <w:pPr>
      <w:spacing w:after="120"/>
    </w:pPr>
    <w:rPr>
      <w:kern w:val="0"/>
      <w:sz w:val="20"/>
      <w:szCs w:val="20"/>
    </w:rPr>
  </w:style>
  <w:style w:type="paragraph" w:styleId="8">
    <w:name w:val="Body Text Indent"/>
    <w:basedOn w:val="1"/>
    <w:next w:val="1"/>
    <w:qFormat/>
    <w:uiPriority w:val="0"/>
    <w:pPr>
      <w:ind w:firstLine="640" w:firstLineChars="200"/>
    </w:pPr>
    <w:rPr>
      <w:rFonts w:ascii="仿宋_GB2312" w:eastAsia="仿宋_GB2312"/>
      <w:kern w:val="0"/>
      <w:sz w:val="32"/>
    </w:rPr>
  </w:style>
  <w:style w:type="paragraph" w:styleId="9">
    <w:name w:val="footer"/>
    <w:basedOn w:val="1"/>
    <w:next w:val="1"/>
    <w:qFormat/>
    <w:uiPriority w:val="99"/>
    <w:pPr>
      <w:tabs>
        <w:tab w:val="center" w:pos="4153"/>
        <w:tab w:val="right" w:pos="8306"/>
      </w:tabs>
      <w:snapToGrid w:val="0"/>
      <w:jc w:val="left"/>
    </w:pPr>
    <w:rPr>
      <w:sz w:val="18"/>
    </w:rPr>
  </w:style>
  <w:style w:type="paragraph" w:styleId="10">
    <w:name w:val="Normal (Web)"/>
    <w:basedOn w:val="1"/>
    <w:qFormat/>
    <w:uiPriority w:val="99"/>
    <w:pPr>
      <w:spacing w:beforeAutospacing="1" w:afterAutospacing="1"/>
      <w:jc w:val="left"/>
    </w:pPr>
    <w:rPr>
      <w:rFonts w:cs="Times New Roman"/>
      <w:kern w:val="0"/>
      <w:sz w:val="24"/>
    </w:rPr>
  </w:style>
  <w:style w:type="paragraph" w:styleId="11">
    <w:name w:val="Body Text First Indent 2"/>
    <w:basedOn w:val="8"/>
    <w:next w:val="1"/>
    <w:semiHidden/>
    <w:qFormat/>
    <w:uiPriority w:val="99"/>
    <w:pPr>
      <w:ind w:firstLine="420"/>
    </w:pPr>
  </w:style>
  <w:style w:type="paragraph" w:customStyle="1" w:styleId="14">
    <w:name w:val="正文 New"/>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A正文"/>
    <w:basedOn w:val="1"/>
    <w:qFormat/>
    <w:uiPriority w:val="0"/>
    <w:pPr>
      <w:ind w:firstLine="200" w:firstLineChars="200"/>
    </w:pPr>
  </w:style>
  <w:style w:type="character" w:customStyle="1" w:styleId="17">
    <w:name w:val="font81"/>
    <w:basedOn w:val="13"/>
    <w:qFormat/>
    <w:uiPriority w:val="0"/>
    <w:rPr>
      <w:rFonts w:ascii="方正小标宋简体" w:hAnsi="方正小标宋简体" w:eastAsia="方正小标宋简体" w:cs="方正小标宋简体"/>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9386</Words>
  <Characters>9436</Characters>
  <Lines>0</Lines>
  <Paragraphs>0</Paragraphs>
  <TotalTime>22</TotalTime>
  <ScaleCrop>false</ScaleCrop>
  <LinksUpToDate>false</LinksUpToDate>
  <CharactersWithSpaces>9538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2025-09-17T11:12:00Z</dcterms:created>
  <dc:creator>天河</dc:creator>
  <cp:lastModifiedBy>龙勇壇</cp:lastModifiedBy>
  <dcterms:modified xsi:type="dcterms:W3CDTF">2026-05-26T17:06:32Z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50966D2C12BA47F88C2FFF1F79EA13B9_11</vt:lpwstr>
  </property>
  <property fmtid="{D5CDD505-2E9C-101B-9397-08002B2CF9AE}" pid="4" name="KSOTemplateDocerSaveRecord">
    <vt:lpwstr>eyJoZGlkIjoiZWM5MTkyNzhhOGYyYzRhYzdmMGJmMGFmZDI2NTE2NGMiLCJ1c2VySWQiOiI0OTg0NzczODAifQ==</vt:lpwstr>
  </property>
</Properties>
</file>