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39"/>
        </w:tabs>
        <w:spacing w:line="576" w:lineRule="exact"/>
        <w:rPr>
          <w:rFonts w:hint="eastAsia" w:asci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pStyle w:val="2"/>
        <w:tabs>
          <w:tab w:val="left" w:pos="5939"/>
        </w:tabs>
        <w:spacing w:line="576" w:lineRule="exact"/>
      </w:pPr>
    </w:p>
    <w:p>
      <w:pPr>
        <w:keepNext w:val="0"/>
        <w:widowControl w:val="0"/>
        <w:tabs>
          <w:tab w:val="left" w:pos="5939"/>
        </w:tabs>
        <w:suppressAutoHyphens w:val="0"/>
        <w:overflowPunct w:val="0"/>
        <w:topLinePunct/>
        <w:spacing w:line="576" w:lineRule="exact"/>
        <w:jc w:val="center"/>
        <w:rPr>
          <w:rFonts w:hint="eastAsia" w:ascii="方正小标宋简体" w:eastAsia="方正小标宋简体" w:cs="CESI小标宋-GB2312"/>
          <w:color w:val="000000"/>
          <w:spacing w:val="-6"/>
          <w:w w:val="97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 w:cs="CESI小标宋-GB2312"/>
          <w:color w:val="000000"/>
          <w:spacing w:val="-6"/>
          <w:w w:val="97"/>
          <w:kern w:val="0"/>
          <w:sz w:val="44"/>
          <w:szCs w:val="44"/>
          <w:lang w:bidi="ar"/>
        </w:rPr>
        <w:t>广元市人民政府2026年度重大行政决策事项目录</w:t>
      </w:r>
    </w:p>
    <w:bookmarkEnd w:id="0"/>
    <w:p>
      <w:pPr>
        <w:keepNext w:val="0"/>
        <w:widowControl w:val="0"/>
        <w:tabs>
          <w:tab w:val="left" w:pos="5939"/>
        </w:tabs>
        <w:suppressAutoHyphens w:val="0"/>
        <w:overflowPunct w:val="0"/>
        <w:topLinePunct/>
        <w:spacing w:line="576" w:lineRule="exact"/>
        <w:ind w:firstLine="856" w:firstLineChars="200"/>
        <w:rPr>
          <w:rFonts w:hint="eastAsia" w:ascii="方正小标宋简体" w:eastAsia="方正小标宋简体" w:cs="CESI小标宋-GB2312"/>
          <w:color w:val="000000"/>
          <w:spacing w:val="-6"/>
          <w:kern w:val="0"/>
          <w:sz w:val="44"/>
          <w:szCs w:val="44"/>
          <w:lang w:bidi="ar"/>
        </w:rPr>
      </w:pPr>
    </w:p>
    <w:tbl>
      <w:tblPr>
        <w:tblStyle w:val="4"/>
        <w:tblW w:w="9674" w:type="dxa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88"/>
        <w:gridCol w:w="2124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序号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事项名称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承办单位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计划完成时间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制定广元市国民经济和社会发展第十五个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五年规划纲要草案</w:t>
            </w:r>
          </w:p>
        </w:tc>
        <w:tc>
          <w:tcPr>
            <w:tcW w:w="21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市发展改革委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制定广元市“十五五”新型能源体系发展规划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制定广元市“十五五”公共服务规划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制定广元市国家生态产品价值实现机制试点三年行动计划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制定广元市“十五五”低空经济产业发展规划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制定广元市推动低空经济高质量发展若干</w:t>
            </w:r>
          </w:p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政策措施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制定广元市风能资源普查及风电发展指导规划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制定广元市“十五五”自然资源保护利用和</w:t>
            </w:r>
          </w:p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地质灾害防治规划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市自然资源局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制定广元市“十五五”科技创新和知识产权</w:t>
            </w:r>
          </w:p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保护规划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市科技局、市市场监管局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制定广元市体育发展“十五五”规划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体育局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24"/>
              </w:rPr>
              <w:t>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制定广元市促进畜牧业高质量发展八条措施</w:t>
            </w:r>
          </w:p>
        </w:tc>
        <w:tc>
          <w:tcPr>
            <w:tcW w:w="21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市农业农村局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制定广元市“十五五”加快推进农业农村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现代化规划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制定广元市“十五五”城市更新行动规划</w:t>
            </w:r>
          </w:p>
        </w:tc>
        <w:tc>
          <w:tcPr>
            <w:tcW w:w="212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w w:val="99"/>
                <w:sz w:val="24"/>
              </w:rPr>
            </w:pPr>
            <w:r>
              <w:rPr>
                <w:rFonts w:hint="eastAsia" w:ascii="仿宋_GB2312" w:eastAsia="仿宋_GB2312"/>
                <w:w w:val="99"/>
                <w:sz w:val="24"/>
              </w:rPr>
              <w:t>市</w:t>
            </w:r>
            <w:r>
              <w:rPr>
                <w:rFonts w:hint="eastAsia" w:ascii="仿宋_GB2312" w:eastAsia="仿宋_GB2312"/>
                <w:w w:val="99"/>
                <w:sz w:val="24"/>
                <w:lang w:eastAsia="zh-CN"/>
              </w:rPr>
              <w:t>住房城乡建设局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制定广元市海绵城市建设专项规划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（2022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—</w:t>
            </w:r>
            <w:r>
              <w:rPr>
                <w:rFonts w:hint="eastAsia" w:ascii="仿宋_GB2312" w:eastAsia="仿宋_GB2312"/>
                <w:sz w:val="24"/>
              </w:rPr>
              <w:t>2035年）</w:t>
            </w:r>
          </w:p>
        </w:tc>
        <w:tc>
          <w:tcPr>
            <w:tcW w:w="21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4"/>
              </w:rPr>
              <w:t>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制定广元市“十五五”现代综合交通运输体系发展规划</w:t>
            </w:r>
          </w:p>
        </w:tc>
        <w:tc>
          <w:tcPr>
            <w:tcW w:w="21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市交通运输局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修订广元港总体规划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制定广元市“十五五”文化和旅游发展规划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99"/>
                <w:sz w:val="24"/>
              </w:rPr>
              <w:t>市</w:t>
            </w:r>
            <w:r>
              <w:rPr>
                <w:rFonts w:hint="eastAsia" w:ascii="仿宋_GB2312" w:eastAsia="仿宋_GB2312"/>
                <w:w w:val="99"/>
                <w:sz w:val="24"/>
                <w:lang w:eastAsia="zh-CN"/>
              </w:rPr>
              <w:t>文化广电旅游</w:t>
            </w:r>
            <w:r>
              <w:rPr>
                <w:rFonts w:hint="eastAsia" w:ascii="仿宋_GB2312" w:eastAsia="仿宋_GB2312"/>
                <w:w w:val="99"/>
                <w:sz w:val="24"/>
              </w:rPr>
              <w:t>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18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制定广元市“十五五”生态环境保护规划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市生态环境局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19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制定广元市“十五五”应急管理规划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市应急管理局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制定广元市“十五五”水安全保障规划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市水利局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21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制定广元市“十五五”服务业发展规划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市商务局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22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制定广元市“十五五”消防事业发展规划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市消防</w:t>
            </w:r>
            <w:r>
              <w:rPr>
                <w:rFonts w:hint="eastAsia" w:ascii="仿宋_GB2312" w:eastAsia="仿宋_GB2312"/>
                <w:sz w:val="24"/>
              </w:rPr>
              <w:t>救援局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23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制定广元市“十五五”新型工业化发展规划</w:t>
            </w:r>
          </w:p>
        </w:tc>
        <w:tc>
          <w:tcPr>
            <w:tcW w:w="21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99"/>
                <w:sz w:val="24"/>
              </w:rPr>
              <w:t>市</w:t>
            </w:r>
            <w:r>
              <w:rPr>
                <w:rFonts w:hint="eastAsia" w:ascii="仿宋_GB2312" w:eastAsia="仿宋_GB2312"/>
                <w:w w:val="99"/>
                <w:sz w:val="24"/>
                <w:lang w:eastAsia="zh-CN"/>
              </w:rPr>
              <w:t>经济和信息化</w:t>
            </w:r>
            <w:r>
              <w:rPr>
                <w:rFonts w:hint="eastAsia" w:ascii="仿宋_GB2312" w:eastAsia="仿宋_GB2312"/>
                <w:w w:val="99"/>
                <w:sz w:val="24"/>
              </w:rPr>
              <w:t>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24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修订广元市加快“百企千亿”中国绿色铝都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建设十条政策措施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25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制定广元市“十五五”数字广元建设和网络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安全信息化规划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政务服务和数据局</w:t>
            </w:r>
            <w:r>
              <w:rPr>
                <w:rFonts w:hint="eastAsia" w:ascii="仿宋_GB2312" w:eastAsia="仿宋_GB2312"/>
                <w:sz w:val="24"/>
              </w:rPr>
              <w:t>、市委网信办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26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制定广元市“十五五”优化社会保障体系规划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人力资源社会保障</w:t>
            </w:r>
            <w:r>
              <w:rPr>
                <w:rFonts w:hint="eastAsia" w:ascii="仿宋_GB2312" w:eastAsia="仿宋_GB2312"/>
                <w:sz w:val="24"/>
              </w:rPr>
              <w:t>局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27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制定广元市中心城区国土空间详细规划</w:t>
            </w:r>
          </w:p>
        </w:tc>
        <w:tc>
          <w:tcPr>
            <w:tcW w:w="21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国土空间规划</w:t>
            </w:r>
            <w:r>
              <w:rPr>
                <w:rFonts w:hint="eastAsia" w:ascii="仿宋_GB2312" w:eastAsia="仿宋_GB2312"/>
                <w:sz w:val="24"/>
              </w:rPr>
              <w:t>中心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28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制定广元市中心城区城市色彩规划</w:t>
            </w:r>
          </w:p>
        </w:tc>
        <w:tc>
          <w:tcPr>
            <w:tcW w:w="2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第四季度</w:t>
            </w:r>
          </w:p>
        </w:tc>
      </w:tr>
    </w:tbl>
    <w:p>
      <w:pPr>
        <w:spacing w:line="440" w:lineRule="exact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仿宋_GB2312" w:eastAsia="仿宋_GB2312"/>
          <w:sz w:val="24"/>
        </w:rPr>
        <w:t>备注：纳入目录的决策事项，承办单位应严格按照《广元市重大行政决策程序规定》《公平竞争审查条例》等规定履行相关法定程序，并结合工作实际按规定开展宏观政策取向一致性评估、与为基层减负一致性评估。</w:t>
      </w:r>
    </w:p>
    <w:p/>
    <w:sectPr>
      <w:pgSz w:w="11907" w:h="16840"/>
      <w:pgMar w:top="2098" w:right="1474" w:bottom="1985" w:left="1588" w:header="851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BF8E6"/>
    <w:rsid w:val="750BF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2026-05-13T15:25:00Z</dcterms:created>
  <dc:creator>刘寓熙　</dc:creator>
  <cp:lastModifiedBy>刘寓熙　</cp:lastModifiedBy>
  <dcterms:modified xsi:type="dcterms:W3CDTF">2026-05-13T15:25:52Z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