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560" w:lineRule="exact"/>
        <w:jc w:val="both"/>
        <w:rPr>
          <w:rFonts w:hint="eastAsia" w:ascii="黑体" w:eastAsia="黑体" w:cs="黑体"/>
          <w:color w:val="000000"/>
          <w:spacing w:val="-6"/>
          <w:kern w:val="0"/>
          <w:sz w:val="32"/>
          <w:szCs w:val="32"/>
          <w:lang w:eastAsia="zh-CN" w:bidi="ar"/>
        </w:rPr>
      </w:pPr>
      <w:r>
        <w:rPr>
          <w:rFonts w:hint="eastAsia" w:ascii="黑体" w:eastAsia="黑体" w:cs="黑体"/>
          <w:color w:val="000000"/>
          <w:spacing w:val="-6"/>
          <w:kern w:val="0"/>
          <w:sz w:val="32"/>
          <w:szCs w:val="32"/>
          <w:lang w:eastAsia="zh-CN" w:bidi="ar"/>
        </w:rPr>
        <w:t>附件</w:t>
      </w:r>
    </w:p>
    <w:p>
      <w:pPr>
        <w:widowControl/>
        <w:suppressAutoHyphens/>
        <w:spacing w:line="560" w:lineRule="exact"/>
        <w:jc w:val="center"/>
        <w:rPr>
          <w:rFonts w:hint="eastAsia" w:ascii="方正小标宋简体" w:eastAsia="方正小标宋简体" w:cs="CESI小标宋-GB2312"/>
          <w:color w:val="000000"/>
          <w:spacing w:val="-6"/>
          <w:kern w:val="0"/>
          <w:sz w:val="44"/>
          <w:szCs w:val="44"/>
          <w:lang w:bidi="ar"/>
        </w:rPr>
      </w:pPr>
    </w:p>
    <w:p>
      <w:pPr>
        <w:widowControl/>
        <w:suppressAutoHyphens/>
        <w:spacing w:line="560" w:lineRule="exact"/>
        <w:jc w:val="center"/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bidi="ar"/>
        </w:rPr>
        <w:t>2025年度广元市人民政府重大行政决策</w:t>
      </w:r>
    </w:p>
    <w:p>
      <w:pPr>
        <w:widowControl/>
        <w:suppressAutoHyphens/>
        <w:spacing w:line="560" w:lineRule="exact"/>
        <w:jc w:val="center"/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bidi="ar"/>
        </w:rPr>
        <w:t>事项目录（</w:t>
      </w:r>
      <w:r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eastAsia="zh-CN" w:bidi="ar"/>
        </w:rPr>
        <w:t>调整</w:t>
      </w:r>
      <w:r>
        <w:rPr>
          <w:rFonts w:hint="eastAsia" w:ascii="方正小标宋_GBK" w:eastAsia="方正小标宋_GBK" w:cs="方正小标宋_GBK"/>
          <w:color w:val="000000"/>
          <w:spacing w:val="-6"/>
          <w:kern w:val="0"/>
          <w:sz w:val="44"/>
          <w:szCs w:val="44"/>
          <w:lang w:bidi="ar"/>
        </w:rPr>
        <w:t>）</w:t>
      </w:r>
    </w:p>
    <w:p>
      <w:pPr>
        <w:widowControl/>
        <w:suppressAutoHyphens/>
        <w:spacing w:line="560" w:lineRule="exact"/>
        <w:jc w:val="center"/>
        <w:rPr>
          <w:rFonts w:hint="eastAsia" w:ascii="方正小标宋简体" w:eastAsia="方正小标宋简体" w:cs="黑体"/>
          <w:color w:val="000000"/>
          <w:kern w:val="0"/>
          <w:sz w:val="32"/>
          <w:szCs w:val="32"/>
          <w:lang w:bidi="ar"/>
        </w:rPr>
      </w:pPr>
    </w:p>
    <w:tbl>
      <w:tblPr>
        <w:tblStyle w:val="16"/>
        <w:tblW w:w="52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31"/>
        <w:gridCol w:w="1231"/>
        <w:gridCol w:w="2515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黑体" w:eastAsia="黑体" w:cs="CESI黑体-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黑体" w:eastAsia="黑体" w:cs="CESI黑体-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lang w:bidi="ar"/>
              </w:rPr>
              <w:t>决策</w:t>
            </w: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szCs w:val="24"/>
                <w:lang w:bidi="ar"/>
              </w:rPr>
              <w:t>事项名称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黑体" w:eastAsia="黑体" w:cs="CESI黑体-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lang w:bidi="ar"/>
              </w:rPr>
              <w:t>决策</w:t>
            </w: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黑体" w:eastAsia="黑体" w:cs="CESI黑体-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szCs w:val="24"/>
                <w:lang w:bidi="ar"/>
              </w:rPr>
              <w:t>需履行的程序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黑体" w:eastAsia="黑体" w:cs="CESI黑体-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CESI黑体-GB2312"/>
                <w:color w:val="000000"/>
                <w:kern w:val="0"/>
                <w:sz w:val="24"/>
                <w:szCs w:val="24"/>
                <w:lang w:eastAsia="zh-CN" w:bidi="ar"/>
              </w:rPr>
              <w:t>计划完成时间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美丽广元建设规划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（2024—2035年）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市生态环境局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公众参与、专家论证、合法性审查、集体讨论决定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第一季度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2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广元市科技创新引领经济高质量发展若干政策措施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市科技局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公众参与、专家论证、公平竞争审查、合法性审查、集体讨论决定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3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广元市城市消防专项规划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（2023—2035年）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广元消防救援支队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公众参与、专家论证、合法性审查、集体讨论决定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  <w:t>4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广元市电子竞技产业发展规划（2025—2030年）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市体育局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公众参与、专家论证、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公平竞争审查、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en" w:bidi="ar-SA"/>
              </w:rPr>
              <w:t>5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南江经苍溪至三台高速公路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项目招标文件、投资协议、特许经营权协议等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市交通运输局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公众参与、风险评估、合法性审查、公平竞争审查、集体讨论决定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第三季度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  <w:t>6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广元市突破发展绿色家居产业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八条政策措施（试行）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市经济和信息化局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公众参与、公平竞争审查、合法性审查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第三季度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  <w:t>7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广元市推进林下经济产业发展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九条措施（试行）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市林业局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公众参与、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公平竞争审查、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  <w:t>8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广元市中心城区声环境功能区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划分调整规定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市生态环境局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公众参与、风险评估、专家论证、合法性审查、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" w:eastAsia="e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  <w:t>9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成渝地区粮食安全保障基地</w:t>
            </w:r>
          </w:p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（广元）实施方案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市发展改革委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专家论证、风险评估、合法性审查、集体讨论决定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" w:eastAsia="en" w:bidi="ar"/>
              </w:rPr>
              <w:t>10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建设大蜀道国际文化旅游目的地和康养度假胜地、加快打造国际旅游城市的若干政策措施（试行）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市文化广电旅游局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公众参与、公平竞争审查、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合法性审查、集体讨论决定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8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第四季度</w:t>
            </w:r>
          </w:p>
        </w:tc>
      </w:tr>
    </w:tbl>
    <w:p>
      <w:pPr>
        <w:widowControl/>
        <w:suppressAutoHyphens/>
        <w:adjustRightInd w:val="0"/>
        <w:snapToGrid w:val="0"/>
        <w:spacing w:after="200" w:line="480" w:lineRule="exact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587" w:right="1474" w:bottom="1474" w:left="1588" w:header="851" w:footer="1247" w:gutter="0"/>
      <w:pgNumType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86"/>
    <w:family w:val="auto"/>
    <w:pitch w:val="default"/>
    <w:sig w:usb0="61007A87" w:usb1="80000000" w:usb2="00000008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宋体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A9"/>
    <w:rsid w:val="3BDF9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ahom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uiPriority w:val="0"/>
  </w:style>
  <w:style w:type="paragraph" w:styleId="6">
    <w:name w:val="Body Text"/>
    <w:basedOn w:val="1"/>
    <w:next w:val="7"/>
    <w:uiPriority w:val="0"/>
    <w:pPr>
      <w:ind w:left="100" w:leftChars="100" w:right="100" w:rightChars="100"/>
    </w:pPr>
  </w:style>
  <w:style w:type="paragraph" w:customStyle="1" w:styleId="7">
    <w:name w:val="Char Char3"/>
    <w:basedOn w:val="1"/>
    <w:uiPriority w:val="0"/>
    <w:pPr>
      <w:widowControl/>
      <w:spacing w:after="160" w:line="240" w:lineRule="exact"/>
      <w:jc w:val="left"/>
    </w:pPr>
  </w:style>
  <w:style w:type="paragraph" w:styleId="8">
    <w:name w:val="toc 5"/>
    <w:basedOn w:val="1"/>
    <w:next w:val="1"/>
    <w:uiPriority w:val="0"/>
    <w:pPr>
      <w:ind w:left="1680"/>
    </w:pPr>
  </w:style>
  <w:style w:type="paragraph" w:styleId="9">
    <w:name w:val="toc 3"/>
    <w:basedOn w:val="1"/>
    <w:next w:val="1"/>
    <w:uiPriority w:val="0"/>
    <w:pPr>
      <w:ind w:left="84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</w:style>
  <w:style w:type="paragraph" w:styleId="13">
    <w:name w:val="toc 4"/>
    <w:basedOn w:val="1"/>
    <w:next w:val="1"/>
    <w:uiPriority w:val="0"/>
    <w:pPr>
      <w:ind w:left="1260"/>
    </w:pPr>
  </w:style>
  <w:style w:type="paragraph" w:styleId="14">
    <w:name w:val="toc 2"/>
    <w:basedOn w:val="1"/>
    <w:next w:val="1"/>
    <w:uiPriority w:val="0"/>
    <w:pPr>
      <w:ind w:left="420"/>
    </w:p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2025-05-29T00:08:00Z</dcterms:created>
  <dc:creator>杜军</dc:creator>
  <cp:lastModifiedBy>刘寓熙　</cp:lastModifiedBy>
  <cp:lastPrinted>2025-12-30T11:31:00Z</cp:lastPrinted>
  <dcterms:modified xsi:type="dcterms:W3CDTF">2025-12-31T16:10:56Z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2052-12.1.0.24034</vt:lpwstr>
  </property>
  <property fmtid="{D5CDD505-2E9C-101B-9397-08002B2CF9AE}" pid="3" name="KSOProductBuildVer">
    <vt:lpwstr>2052-11.8.2.9980</vt:lpwstr>
  </property>
</Properties>
</file>