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spacing w:line="576" w:lineRule="exact"/>
        <w:jc w:val="both"/>
        <w:rPr>
          <w:rFonts w:hint="eastAsia" w:ascii="黑体" w:eastAsia="黑体" w:cs="黑体"/>
          <w:color w:val="000000"/>
          <w:spacing w:val="-6"/>
          <w:kern w:val="0"/>
          <w:sz w:val="32"/>
          <w:szCs w:val="32"/>
          <w:lang w:eastAsia="zh-CN" w:bidi="ar"/>
        </w:rPr>
      </w:pPr>
      <w:bookmarkStart w:id="0" w:name="_GoBack"/>
      <w:r>
        <w:rPr>
          <w:rFonts w:hint="eastAsia" w:ascii="黑体" w:eastAsia="黑体" w:cs="黑体"/>
          <w:color w:val="000000"/>
          <w:spacing w:val="-6"/>
          <w:kern w:val="0"/>
          <w:sz w:val="32"/>
          <w:szCs w:val="32"/>
          <w:lang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suppressAutoHyphens/>
        <w:spacing w:line="576" w:lineRule="exact"/>
        <w:jc w:val="center"/>
        <w:rPr>
          <w:rFonts w:hint="eastAsia" w:ascii="方正小标宋_GBK" w:hAnsi="方正小标宋_GBK" w:eastAsia="方正小标宋_GBK" w:cs="方正小标宋_GBK"/>
          <w:color w:val="auto"/>
          <w:spacing w:val="-6"/>
          <w:kern w:val="0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kern w:val="0"/>
          <w:sz w:val="44"/>
          <w:szCs w:val="44"/>
          <w:lang w:bidi="ar-SA"/>
        </w:rPr>
        <w:t>2025年度广元市人民政府重大行政决策事项目录</w:t>
      </w:r>
    </w:p>
    <w:bookmarkEnd w:id="0"/>
    <w:p>
      <w:pPr>
        <w:keepNext w:val="0"/>
        <w:keepLines w:val="0"/>
        <w:pageBreakBefore w:val="0"/>
        <w:widowControl/>
        <w:suppressLineNumbers w:val="0"/>
        <w:suppressAutoHyphens/>
        <w:spacing w:line="200" w:lineRule="exact"/>
        <w:jc w:val="center"/>
        <w:rPr>
          <w:rFonts w:hint="eastAsia" w:ascii="方正小标宋简体" w:eastAsia="方正小标宋简体" w:cs="黑体"/>
          <w:color w:val="auto"/>
          <w:kern w:val="0"/>
          <w:sz w:val="32"/>
          <w:szCs w:val="32"/>
          <w:lang w:bidi="ar-SA"/>
        </w:rPr>
      </w:pPr>
    </w:p>
    <w:tbl>
      <w:tblPr>
        <w:tblStyle w:val="3"/>
        <w:tblW w:w="508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550"/>
        <w:gridCol w:w="2175"/>
        <w:gridCol w:w="4028"/>
        <w:gridCol w:w="1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黑体" w:eastAsia="黑体" w:cs="CESI黑体-GB2312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CESI黑体-GB2312"/>
                <w:color w:val="auto"/>
                <w:kern w:val="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黑体" w:eastAsia="黑体" w:cs="CESI黑体-GB2312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CESI黑体-GB2312"/>
                <w:color w:val="auto"/>
                <w:kern w:val="0"/>
                <w:sz w:val="24"/>
                <w:szCs w:val="24"/>
                <w:lang w:bidi="ar-SA"/>
              </w:rPr>
              <w:t>决策事项名称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黑体" w:eastAsia="黑体" w:cs="CESI黑体-GB2312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CESI黑体-GB2312"/>
                <w:color w:val="auto"/>
                <w:kern w:val="0"/>
                <w:sz w:val="24"/>
                <w:szCs w:val="24"/>
                <w:lang w:bidi="ar-SA"/>
              </w:rPr>
              <w:t>决策承办单位</w:t>
            </w:r>
          </w:p>
        </w:tc>
        <w:tc>
          <w:tcPr>
            <w:tcW w:w="4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黑体" w:eastAsia="黑体" w:cs="CESI黑体-GB2312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CESI黑体-GB2312"/>
                <w:color w:val="auto"/>
                <w:kern w:val="0"/>
                <w:sz w:val="24"/>
                <w:szCs w:val="24"/>
                <w:lang w:bidi="ar-SA"/>
              </w:rPr>
              <w:t>需履行的程序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黑体" w:eastAsia="黑体" w:cs="CESI黑体-GB2312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CESI黑体-GB2312"/>
                <w:color w:val="auto"/>
                <w:kern w:val="0"/>
                <w:sz w:val="24"/>
                <w:szCs w:val="24"/>
                <w:lang w:bidi="ar-SA"/>
              </w:rPr>
              <w:t>完成时间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美丽广元建设规划（2024—2035年）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市生态环境局</w:t>
            </w:r>
          </w:p>
        </w:tc>
        <w:tc>
          <w:tcPr>
            <w:tcW w:w="4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公众参与、专家论证、合法性审查、集体讨论决定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2025年一季度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广元市科技创新引领经济高质量发展若干</w:t>
            </w:r>
          </w:p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政策措施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市科技局</w:t>
            </w:r>
          </w:p>
        </w:tc>
        <w:tc>
          <w:tcPr>
            <w:tcW w:w="4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公众参与、专家论证、公平竞争审查、合法性审查、集体讨论决定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2025年二季度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广元市城市消防专项规划（2023—2035年）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广元消防救援支队</w:t>
            </w:r>
          </w:p>
        </w:tc>
        <w:tc>
          <w:tcPr>
            <w:tcW w:w="4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公众参与、专家论证、合法性审查、集体讨论决定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2025年二季度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南江经苍溪至三台高速公路</w:t>
            </w:r>
          </w:p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项目招标文件、投资协议、特许经营权协议等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市交通运输局</w:t>
            </w:r>
          </w:p>
        </w:tc>
        <w:tc>
          <w:tcPr>
            <w:tcW w:w="4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公众参与、风险评估、合法性审查、公平竞争审查、集体讨论决定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2025年三季度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广元港总体规划（修编）</w:t>
            </w:r>
          </w:p>
        </w:tc>
        <w:tc>
          <w:tcPr>
            <w:tcW w:w="21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公众参与、专家论证、风险评估、合法性审查、集体讨论决定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2025年四季度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广元市中心城区国土空间详细规划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市国土空间规划</w:t>
            </w:r>
          </w:p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编制研究中心</w:t>
            </w:r>
          </w:p>
        </w:tc>
        <w:tc>
          <w:tcPr>
            <w:tcW w:w="4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公众参与、专家论证、合法性审查、集体讨论决定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2025年四季度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广元市中心城区城市色彩规划</w:t>
            </w:r>
          </w:p>
        </w:tc>
        <w:tc>
          <w:tcPr>
            <w:tcW w:w="21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公众参与、专家论证、合法性审查、集体讨论决定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方正小标宋_GBK" w:eastAsia="方正小标宋_GBK" w:cs="方正小标宋_GBK"/>
                <w:sz w:val="44"/>
                <w:szCs w:val="44"/>
                <w:lang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2025年四季度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广元市国民经济和社会发展第十五个五年规划纲要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市发展改革委</w:t>
            </w:r>
          </w:p>
        </w:tc>
        <w:tc>
          <w:tcPr>
            <w:tcW w:w="4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公众参与、专家论证、风险评估、公平竞争审查、合法性审查、集体讨论决定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2025年四季度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成渝地区粮食安全保障基地（广元）实施方案</w:t>
            </w:r>
          </w:p>
        </w:tc>
        <w:tc>
          <w:tcPr>
            <w:tcW w:w="217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专家论证、风险评估、合法性审查、集体讨论决定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280" w:lineRule="exact"/>
              <w:ind w:left="0"/>
              <w:jc w:val="left"/>
              <w:textAlignment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2025年四季度</w:t>
            </w:r>
          </w:p>
        </w:tc>
      </w:tr>
    </w:tbl>
    <w:p>
      <w:pPr>
        <w:widowControl/>
        <w:suppressAutoHyphens/>
        <w:spacing w:line="576" w:lineRule="exact"/>
        <w:jc w:val="both"/>
        <w:sectPr>
          <w:pgSz w:w="16840" w:h="11907" w:orient="landscape"/>
          <w:pgMar w:top="1797" w:right="1440" w:bottom="1797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Droid Sans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6187E"/>
    <w:rsid w:val="FDF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Droid Sans" w:hAnsi="Droid Sans" w:eastAsia="宋体" w:cs="Droid Sans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2025-06-09T10:08:00Z</dcterms:created>
  <dc:creator>user</dc:creator>
  <cp:lastModifiedBy>user</cp:lastModifiedBy>
  <dcterms:modified xsi:type="dcterms:W3CDTF">2025-06-09T10:09:21Z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