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793" w:tblpY="2393"/>
        <w:tblOverlap w:val="never"/>
        <w:tblW w:w="15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2160"/>
        <w:gridCol w:w="1545"/>
        <w:gridCol w:w="6510"/>
        <w:gridCol w:w="1065"/>
        <w:gridCol w:w="1200"/>
        <w:gridCol w:w="1605"/>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5" w:type="dxa"/>
            <w:gridSpan w:val="8"/>
            <w:tcBorders>
              <w:top w:val="nil"/>
              <w:left w:val="nil"/>
              <w:right w:val="nil"/>
            </w:tcBorders>
          </w:tcPr>
          <w:p>
            <w:pPr>
              <w:rPr>
                <w:rFonts w:hint="eastAsia"/>
                <w:sz w:val="16"/>
                <w:szCs w:val="20"/>
                <w:vertAlign w:val="baseline"/>
                <w:lang w:eastAsia="zh-CN"/>
              </w:rPr>
            </w:pPr>
          </w:p>
          <w:p>
            <w:pPr>
              <w:jc w:val="center"/>
              <w:rPr>
                <w:rFonts w:hint="eastAsia"/>
                <w:sz w:val="16"/>
                <w:szCs w:val="20"/>
                <w:vertAlign w:val="baseline"/>
                <w:lang w:eastAsia="zh-CN"/>
              </w:rPr>
            </w:pPr>
            <w:r>
              <w:rPr>
                <w:rFonts w:hint="eastAsia" w:ascii="宋体" w:hAnsi="宋体" w:eastAsia="宋体" w:cs="宋体"/>
                <w:w w:val="95"/>
                <w:kern w:val="0"/>
                <w:sz w:val="32"/>
                <w:szCs w:val="32"/>
                <w:lang w:val="en-US" w:eastAsia="zh-CN" w:bidi="ar-SA"/>
              </w:rPr>
              <w:t>从轻处罚清单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71"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序号</w:t>
            </w:r>
          </w:p>
        </w:tc>
        <w:tc>
          <w:tcPr>
            <w:tcW w:w="2160"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违法行为</w:t>
            </w:r>
          </w:p>
        </w:tc>
        <w:tc>
          <w:tcPr>
            <w:tcW w:w="1545"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违法依据</w:t>
            </w:r>
          </w:p>
        </w:tc>
        <w:tc>
          <w:tcPr>
            <w:tcW w:w="6510"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处罚依据</w:t>
            </w:r>
          </w:p>
        </w:tc>
        <w:tc>
          <w:tcPr>
            <w:tcW w:w="1065"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情节</w:t>
            </w:r>
          </w:p>
        </w:tc>
        <w:tc>
          <w:tcPr>
            <w:tcW w:w="1200"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裁量事实</w:t>
            </w:r>
          </w:p>
        </w:tc>
        <w:tc>
          <w:tcPr>
            <w:tcW w:w="1605"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处罚基准</w:t>
            </w:r>
          </w:p>
        </w:tc>
        <w:tc>
          <w:tcPr>
            <w:tcW w:w="689"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车辆违法超限运输的(外廓尺寸超限)</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《公路法》第五十条《超限运输车辆行驶公路管理规定》第三条、第六条、第二十七条、第四十七条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rPr>
              <w:t>1.《公路法》第七十六条 有下列违法行为之一的，由交通主管部门责令停止违法行为，可以处三万元以下的罚款:(五)违反本法第五十条规定，车辆超限使用汽车渡船或者在公路上擅自超限行驶的</w:t>
            </w:r>
            <w:r>
              <w:rPr>
                <w:rFonts w:hint="eastAsia" w:ascii="宋体" w:hAnsi="宋体" w:eastAsia="宋体" w:cs="宋体"/>
                <w:kern w:val="0"/>
                <w:sz w:val="18"/>
                <w:szCs w:val="18"/>
                <w:vertAlign w:val="baseline"/>
                <w:lang w:eastAsia="zh-CN"/>
              </w:rPr>
              <w:t>；</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rPr>
              <w:t>《公路安全保护条例》第六十四条</w:t>
            </w:r>
            <w:r>
              <w:rPr>
                <w:rFonts w:hint="eastAsia" w:ascii="宋体" w:hAnsi="宋体" w:eastAsia="宋体" w:cs="宋体"/>
                <w:kern w:val="0"/>
                <w:sz w:val="18"/>
                <w:szCs w:val="18"/>
                <w:vertAlign w:val="baseline"/>
                <w:lang w:val="en-US" w:eastAsia="zh-CN"/>
              </w:rPr>
              <w:t xml:space="preserve"> </w:t>
            </w:r>
            <w:r>
              <w:rPr>
                <w:rFonts w:hint="eastAsia" w:ascii="宋体" w:hAnsi="宋体" w:eastAsia="宋体" w:cs="宋体"/>
                <w:kern w:val="0"/>
                <w:sz w:val="18"/>
                <w:szCs w:val="18"/>
                <w:vertAlign w:val="baseline"/>
              </w:rPr>
              <w:t>违反本条例的规定，在公路上行驶的车辆，车货总体的外廓尺寸、轴荷或者总质量超过公路、公路桥梁、公路隧道、汽车渡船限定标准的，由公路管理机构责令改正，可以处3万元以下的罚款</w:t>
            </w:r>
            <w:r>
              <w:rPr>
                <w:rFonts w:hint="eastAsia" w:ascii="宋体" w:hAnsi="宋体" w:eastAsia="宋体" w:cs="宋体"/>
                <w:kern w:val="0"/>
                <w:sz w:val="18"/>
                <w:szCs w:val="18"/>
                <w:vertAlign w:val="baseline"/>
                <w:lang w:eastAsia="zh-CN"/>
              </w:rPr>
              <w:t>；</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2.《超限运输车辆行驶公路管理规定》第四十一条</w:t>
            </w:r>
            <w:r>
              <w:rPr>
                <w:rFonts w:hint="eastAsia" w:ascii="宋体" w:hAnsi="宋体" w:eastAsia="宋体" w:cs="宋体"/>
                <w:kern w:val="0"/>
                <w:sz w:val="18"/>
                <w:szCs w:val="18"/>
                <w:vertAlign w:val="baseline"/>
                <w:lang w:val="en-US" w:eastAsia="zh-CN"/>
              </w:rPr>
              <w:t xml:space="preserve"> </w:t>
            </w:r>
            <w:r>
              <w:rPr>
                <w:rFonts w:hint="eastAsia" w:ascii="宋体" w:hAnsi="宋体" w:eastAsia="宋体" w:cs="宋体"/>
                <w:kern w:val="0"/>
                <w:sz w:val="18"/>
                <w:szCs w:val="18"/>
                <w:vertAlign w:val="baseline"/>
              </w:rPr>
              <w:t>车辆违法超限运输的。由公路管理机构根据违法行为的性质、情节和危害程度，按下列规定给于处罚:(一)车货总高度从地面算起未超过42米、总家度未超过3米且总长度未超过20米的，可以处200元以下罚款:车货总高度从地面算起未超过45米，总览度未超过375米且总长度未超过28米的，处200元以上1000元以下</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罚款</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车货总高度从地面算起超过4.5米，总宽度超过3.75米或者总长度超过28米的，处1000元以上3000元以下的罚款:(二)车货总质量超过本规定第三条第一款第四项至第八项规定的限定标准，但未超过1000千克的。予以警告:超过1000千克的，每超1000千克罚款500元，最高不得超过30000元。</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有前款所列多项违法行为的，相应违法行为的罚款数额应当累计，但累计罚款数额最高不得超过30000元。</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轻微</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rPr>
              <w:t>同时满足以下三种情的:(1)车货总高度&lt;4.2米</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(2)总宽度&lt;3米</w:t>
            </w:r>
            <w:r>
              <w:rPr>
                <w:rFonts w:hint="eastAsia" w:ascii="宋体" w:hAnsi="宋体" w:eastAsia="宋体" w:cs="宋体"/>
                <w:kern w:val="0"/>
                <w:sz w:val="18"/>
                <w:szCs w:val="18"/>
                <w:vertAlign w:val="baseline"/>
                <w:lang w:eastAsia="zh-CN"/>
              </w:rPr>
              <w:t>；</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(3)总长度&lt;20米。</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处200元罚款:有本项与第2项“车辆违法超限运输货的(重量超限)”"所列多项违法行为的，相应违法行为的罚款数额应当累计。但累计罚款数额最高不得</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过30000元。</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right="0" w:firstLine="180" w:firstLineChars="10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租借、转让超限运输车辆通行证的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《公路安全保护条例》第三十八条第三款</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公路安全保护条例》第六十五条租借、转让超限运输车辆通行证的。由公路管理机构没收超限运输车辆通行证，处1000元以上5000元以下的罚款。使用伪造，变造的超限运输车辆通行证的，由公路管理机构没收伪造,变造的超限运输车辆通行证,处3万元以下的罚款。</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轻微</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初次违法</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没收超限运输车辆通行证，处1000元罚款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671" w:type="dxa"/>
            <w:vMerge w:val="restart"/>
            <w:vAlign w:val="center"/>
          </w:tcPr>
          <w:p>
            <w:pPr>
              <w:autoSpaceDE w:val="0"/>
              <w:autoSpaceDN w:val="0"/>
              <w:spacing w:before="0" w:after="0" w:line="240" w:lineRule="auto"/>
              <w:ind w:right="0"/>
              <w:jc w:val="both"/>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right="0" w:firstLine="180" w:firstLineChars="100"/>
              <w:jc w:val="both"/>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w:t>
            </w:r>
          </w:p>
        </w:tc>
        <w:tc>
          <w:tcPr>
            <w:tcW w:w="2160" w:type="dxa"/>
            <w:vMerge w:val="restart"/>
            <w:vAlign w:val="center"/>
          </w:tcPr>
          <w:p>
            <w:pPr>
              <w:autoSpaceDE w:val="0"/>
              <w:autoSpaceDN w:val="0"/>
              <w:spacing w:before="0" w:after="0" w:line="240" w:lineRule="auto"/>
              <w:ind w:left="0" w:right="0"/>
              <w:jc w:val="both"/>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用公路桥梁、公路隧道、涵洞铺设高压电线和输送易燃、易爆或者其他有毒有害气体、液体的管道的</w:t>
            </w:r>
          </w:p>
        </w:tc>
        <w:tc>
          <w:tcPr>
            <w:tcW w:w="1545" w:type="dxa"/>
            <w:vMerge w:val="restart"/>
            <w:vAlign w:val="center"/>
          </w:tcPr>
          <w:p>
            <w:pPr>
              <w:autoSpaceDE w:val="0"/>
              <w:autoSpaceDN w:val="0"/>
              <w:spacing w:before="0" w:after="0" w:line="240" w:lineRule="auto"/>
              <w:ind w:left="0" w:right="0"/>
              <w:jc w:val="both"/>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《公路安全保护条例》第二十二条第二款</w:t>
            </w:r>
          </w:p>
        </w:tc>
        <w:tc>
          <w:tcPr>
            <w:tcW w:w="6510" w:type="dxa"/>
            <w:vMerge w:val="restart"/>
            <w:vAlign w:val="center"/>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《公路安全保护条例》第五十九条</w:t>
            </w:r>
            <w:r>
              <w:rPr>
                <w:rFonts w:hint="eastAsia" w:ascii="宋体" w:hAnsi="宋体" w:eastAsia="宋体" w:cs="宋体"/>
                <w:kern w:val="0"/>
                <w:sz w:val="18"/>
                <w:szCs w:val="18"/>
                <w:vertAlign w:val="baseline"/>
                <w:lang w:val="en-US" w:eastAsia="zh-CN"/>
              </w:rPr>
              <w:t xml:space="preserve"> </w:t>
            </w:r>
            <w:r>
              <w:rPr>
                <w:rFonts w:hint="eastAsia" w:ascii="宋体" w:hAnsi="宋体" w:eastAsia="宋体" w:cs="宋体"/>
                <w:kern w:val="0"/>
                <w:sz w:val="18"/>
                <w:szCs w:val="18"/>
                <w:vertAlign w:val="baseline"/>
              </w:rPr>
              <w:t>违反本条例第二十二条规定的，由公路管理机构责令改正，处2万元以上10万元以下的罚款。</w:t>
            </w:r>
          </w:p>
        </w:tc>
        <w:tc>
          <w:tcPr>
            <w:tcW w:w="106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p>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轻微</w:t>
            </w:r>
          </w:p>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p>
        </w:tc>
        <w:tc>
          <w:tcPr>
            <w:tcW w:w="1200"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初次且未造成危害</w:t>
            </w:r>
          </w:p>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后果的</w:t>
            </w:r>
          </w:p>
        </w:tc>
        <w:tc>
          <w:tcPr>
            <w:tcW w:w="160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处20000元</w:t>
            </w:r>
          </w:p>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罚款</w:t>
            </w:r>
          </w:p>
        </w:tc>
        <w:tc>
          <w:tcPr>
            <w:tcW w:w="689"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continue"/>
            <w:tcBorders/>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lang w:val="en-US" w:eastAsia="zh-CN"/>
              </w:rPr>
            </w:pPr>
          </w:p>
        </w:tc>
        <w:tc>
          <w:tcPr>
            <w:tcW w:w="2160" w:type="dxa"/>
            <w:vMerge w:val="continue"/>
            <w:tcBorders/>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p>
        </w:tc>
        <w:tc>
          <w:tcPr>
            <w:tcW w:w="1545" w:type="dxa"/>
            <w:vMerge w:val="continue"/>
            <w:tcBorders/>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p>
        </w:tc>
        <w:tc>
          <w:tcPr>
            <w:tcW w:w="6510" w:type="dxa"/>
            <w:vMerge w:val="continue"/>
            <w:tcBorders/>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p>
        </w:tc>
        <w:tc>
          <w:tcPr>
            <w:tcW w:w="1065" w:type="dxa"/>
            <w:vAlign w:val="center"/>
          </w:tcPr>
          <w:p>
            <w:pPr>
              <w:autoSpaceDE w:val="0"/>
              <w:autoSpaceDN w:val="0"/>
              <w:spacing w:before="0" w:after="0" w:line="240" w:lineRule="auto"/>
              <w:ind w:left="0" w:right="0"/>
              <w:jc w:val="both"/>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对桥梁、隧道、涵洞或附属设施造成损害，或影响车辆行人正常通行，存在交通安全</w:t>
            </w:r>
          </w:p>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隐患的</w:t>
            </w:r>
          </w:p>
        </w:tc>
        <w:tc>
          <w:tcPr>
            <w:tcW w:w="1605" w:type="dxa"/>
            <w:vAlign w:val="center"/>
          </w:tcPr>
          <w:p>
            <w:pPr>
              <w:autoSpaceDE w:val="0"/>
              <w:autoSpaceDN w:val="0"/>
              <w:spacing w:before="0" w:after="0" w:line="240" w:lineRule="auto"/>
              <w:ind w:left="0" w:right="0"/>
              <w:jc w:val="both"/>
              <w:rPr>
                <w:rFonts w:hint="eastAsia" w:ascii="宋体" w:hAnsi="宋体" w:eastAsia="宋体" w:cs="宋体"/>
                <w:kern w:val="0"/>
                <w:sz w:val="18"/>
                <w:szCs w:val="18"/>
                <w:vertAlign w:val="baseline"/>
              </w:rPr>
            </w:pPr>
          </w:p>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处5000元</w:t>
            </w:r>
          </w:p>
          <w:p>
            <w:pPr>
              <w:autoSpaceDE w:val="0"/>
              <w:autoSpaceDN w:val="0"/>
              <w:spacing w:before="0" w:after="0" w:line="240" w:lineRule="auto"/>
              <w:ind w:left="0" w:right="0"/>
              <w:jc w:val="center"/>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擅自利用跨越公路的设施悬挂非公路标志的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《公路安全保护条例》第二十七条第五项</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《公路安全保护条例》第六十二条违反本条例的规定，未经许可进行本条例第二十七条第一项至第五项规定的涉路施工活动的。由公路管理机构责令改正，可以处3万元以下的罚款。</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临时悬挂，未造成危害后果的</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right="0" w:firstLine="360" w:firstLineChars="20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可以处1000元罚款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5</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指使、强令车辆驾驶人超限运输货物的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《公路安全保护条例》第四十一条第三款</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《公路安全保护条例》第六十八条 违反本条例的规定，指使、强令车辆驾驶人超限运输货物的。由道路运输管理机构责令改正，处3万元以下的罚款。</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轻微</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初次且未造成危害后果的</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firstLine="540" w:firstLineChars="30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处5000元罚款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restart"/>
          </w:tcPr>
          <w:p>
            <w:pPr>
              <w:autoSpaceDE w:val="0"/>
              <w:autoSpaceDN w:val="0"/>
              <w:spacing w:before="0" w:after="0" w:line="240" w:lineRule="auto"/>
              <w:ind w:left="0" w:right="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6</w:t>
            </w:r>
          </w:p>
        </w:tc>
        <w:tc>
          <w:tcPr>
            <w:tcW w:w="2160"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未取得道路运输经营许可，擅自从事道路运输经营的</w:t>
            </w:r>
          </w:p>
        </w:tc>
        <w:tc>
          <w:tcPr>
            <w:tcW w:w="1545"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《中华人民共和国道路</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运输条例》第十条、第二十四条</w:t>
            </w:r>
          </w:p>
        </w:tc>
        <w:tc>
          <w:tcPr>
            <w:tcW w:w="6510"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中华人民共和国道路运输条例》第六十三条违反本条例的规定，未取得道路运输经营许可，擅自从事道路运输经营的。由县级以上地方人民政府交通运输主管部门所得2倍以上10倍以下的罚款:没有违法所得或者违法所得不足2万元的，处3万元以上10万元以下的罚款</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构成犯罪的，依法追究刑事责任。第八十条从事非经营性危险货物运输的，应当遵守本条例有关规定。</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轻微</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初次违法的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责令停止经营</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有违法所得的，没收违法所得。处违法所得2倍罚款</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没有违法所得，或者违法所得不足2万元处，处3万元罚款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tc>
        <w:tc>
          <w:tcPr>
            <w:tcW w:w="2160"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545"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6510"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一般</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一年内第二次违法的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责令停止经营</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有违法所得的，没收违法所得，处违法所得3倍罚款</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没有违法所得，或者违法所得不足2万元处，处4万元</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tc>
        <w:tc>
          <w:tcPr>
            <w:tcW w:w="2160"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545"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6510"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较重</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一年内第三次违法的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责令停止经营</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有违法所得的，没收违法所得5倍罚款</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没有违法所得，或者违法所得不足2万元处，处5万元罚款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7</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伪造</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篡改</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删除车辆动态监控数据的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《道路运输车辆动态监督管理办法》第十九条第三十七条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rPr>
              <w:t>《道路运输车辆动态监督管理办法》第三十七条 违反本办法的规定，道路运输企业或者提供道路运输车辆动态监控社会化服务的单位伪造、算改、删除车辆动态监控数据的，由县级以上道路运输管理机构责令改正，处500 元以上2000元以下罚款。</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初次违法伪造、篡改、删除半挂牵引车或重型载货汽车车辆动态监控数据的</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责令改正，罚款500元</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default"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8</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加班车、顶班车、接驳车无正当理由不按照规定的线路、站点运行的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《道路旅客运输及客运站管理规定》第五十六条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《道路旅客运输及客运站管理规定》第九十九条 违反本规定，客运经营者有下列情形之一的，由交通运输主管部门责令改正，处1000元以上3000元以下的罚款:(二)加班车、顶班车、接驳车无正当理由不按照规定的线路、站点运行的</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违反前款第(一)至《六)项规定，情节严重的，由原许可机关吊销相应许可。</w:t>
            </w:r>
          </w:p>
        </w:tc>
        <w:tc>
          <w:tcPr>
            <w:tcW w:w="1065" w:type="dxa"/>
          </w:tcPr>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初次违法</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责令改正，罚款1000元</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9</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客运包车未持有效的包车客运标志牌进行经营的，不按照包车客运标志牌载明的事项运行的，线路两端均不在车籍所在地的，招揽包车合同以外的旅客乘车的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道路旅客运输及客运站管理规定》第五十七条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rPr>
              <w:t>《道路旅客运输及客运站管理规定》第九十九条 违反本规定，客运经营者有下列情形之一的，由交通运输主管部门责令改正，处 1000 元以上 3000 元以下的罚款:(七)客运包车未持有效的包车客运标志牌进行经营的，不按照包车客运标志牌载明的事项运行的。线路两端均不在车籍所在地的，招揽包车合同以外的旅客乘车的</w:t>
            </w:r>
            <w:r>
              <w:rPr>
                <w:rFonts w:hint="eastAsia" w:ascii="宋体" w:hAnsi="宋体" w:eastAsia="宋体" w:cs="宋体"/>
                <w:kern w:val="0"/>
                <w:sz w:val="18"/>
                <w:szCs w:val="18"/>
                <w:vertAlign w:val="baseline"/>
                <w:lang w:eastAsia="zh-CN"/>
              </w:rPr>
              <w:t>；</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省内客运包车初次违法</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责令改正，罚款 1000 元</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10</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以欺骗、暴力等手段招揽旅客的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《道路旅客运输及客运站管理规定》第三十九条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《道路旅客运输及客运站管理规定》第九十九条 违反本规定，客运经营者有下列情形之一的，由交通运输主音部门责令改正，处1000元以上3000元以下的罚款:(三)以欺骗、暴力等手段招揽旅客的</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违反前款第(一)至(六)项规定，情节严重的，由原许可机关吊销相应许可。</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初次使用欺骗手段招揽乘客的</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责令改正，罚款1000元</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11</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擅自将旅客移交他人运输的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《道路旅客运输及客运站管理规定》第三十九条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《道路旅客运输及客运站管理规定》第九十九条违反本规定，客运经营者有下列情形之一的，由交通运输主管部门责令改正，处 1000 元以上 3000 元以下的罚款:(四)擅自将旅客移交他人运输的:违反前款第(一)至(六)项规定，情节严重的，由原许可机关吊销相应许可。</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初次违法</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责令改正，罚款1000元</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12</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在旅客运输途中擅自变更运输车辆的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《道路旅客运输及客运站管理规定》第三十九条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《道路旅客运输及客运站管理规定》第九十九条 违反本规定，客运经营者有下列情形之一的，由交通运输主管部门责令改正，处1000元以上3000元以下的罚款</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(五)在旅客运输途中擅自变更运输车辆的</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违反前款第(一)至(六)项规定，情节严重的，由原许可机关吊销相应许可。</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初次违法</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eastAsia="zh-CN"/>
              </w:rPr>
              <w:t>责令改正，罚款</w:t>
            </w:r>
            <w:r>
              <w:rPr>
                <w:rFonts w:hint="eastAsia" w:ascii="宋体" w:hAnsi="宋体" w:eastAsia="宋体" w:cs="宋体"/>
                <w:kern w:val="0"/>
                <w:sz w:val="18"/>
                <w:szCs w:val="18"/>
                <w:vertAlign w:val="baseline"/>
                <w:lang w:val="en-US" w:eastAsia="zh-CN"/>
              </w:rPr>
              <w:t>1000元</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13</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没有采取必要措施防止货物脱落、扬撒的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道路货物运输及站场管理规定》第三十二条</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《道路货物运输及站场管理规定》第六十四条 违反本规定，道路货物运输经营者有下列情形之一的，由交通运输主管部门责令改正，处 1000 元以上3000 元以下的罚款:情节严重的，由原许可机关吊销道路运输经营许可证或者吊销其相应的经营范围:(二)没有采取必要措施防止货物脱落、扬撤的。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初次违法</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责令改正，罚款</w:t>
            </w:r>
            <w:r>
              <w:rPr>
                <w:rFonts w:hint="eastAsia" w:ascii="宋体" w:hAnsi="宋体" w:eastAsia="宋体" w:cs="宋体"/>
                <w:kern w:val="0"/>
                <w:sz w:val="18"/>
                <w:szCs w:val="18"/>
                <w:vertAlign w:val="baseline"/>
                <w:lang w:val="en-US" w:eastAsia="zh-CN"/>
              </w:rPr>
              <w:t>1000元</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14</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运输危险化学品，未配备必要的防护用品和应急救援器材的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《危险化学品安全管理条例》第四十五条第一款</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rPr>
              <w:t>1</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《危险化学品安全管理条例》第八十六条 有下列情形之一的，由交通运输主管部门责令改正，处5万元以上10万元以下的罚款:拒不改正的，责令停产停业整顿</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构成犯罪的，依法追究刑事责任:(二)运输危险化学品，未根据危险化学品的危险特性采取相应的安全防护措施，或者未配备必要的防护用品和应急救援器材的:2.《道路危险货物运输管理规定》第六十条 违反本规定，道路危险货物运输企业或者单位以及托运人有下列情形之一的，由县级以上道路运输管理机构责令改正，并处 5 万元以上 10 万元以下的罚款，拒不改正的，责令停产停业整顿:构成犯罪的，依法追究刑事责任:(三未根据危险化学品的危险特性采取相应的安全防护措施，或者未配备必要的防护用品和应急救援器材的</w:t>
            </w:r>
            <w:r>
              <w:rPr>
                <w:rFonts w:hint="eastAsia" w:ascii="宋体" w:hAnsi="宋体" w:eastAsia="宋体" w:cs="宋体"/>
                <w:kern w:val="0"/>
                <w:sz w:val="18"/>
                <w:szCs w:val="18"/>
                <w:vertAlign w:val="baseline"/>
                <w:lang w:eastAsia="zh-CN"/>
              </w:rPr>
              <w:t>。</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一般</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未造成危害后果的</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处5万元的罚款</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15</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不向承运人说明所托运的危险化学品的种类、数量、危险特性以及发生危险情况的应急处置措施，或者未按照国家有关规定对所托运的危险化学品妥善包装并在外包装上设置相应标志的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《危险化学品安全管理条例》第六十三条第一款</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1.《危险化学品安全管理条例》第八十六条 有下列情形之一的，由交通运输主管部门责令改正，处5万元以上10万元以下的罚款:拒不改正的，责令停产停业整顿</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构成犯罪的，依法追究刑事责任:(六)托运人不向承运人说明所托运的危险化学品的种类、数量、危险特性以及发生危险情况的应急处置措施，或者未按照国家有关规定对所托运的危险化学品妥善包装并在外包装上设置相应标志的:2.《道路危险货物运输管理规定》第六十条 违反本规定，道路危险货物运输企业或者单位以及托运人有下列情形之一的，由县级以上道路运输管理机构责令改正，并处5万元以上10万元以下的罚款，拒不改正的，责令停产停业整顿</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构成犯罪的，依法追究刑事责任:(二)托运人不向承运人说明所托运的危险化学品的种类、数量、危险特性以及发生危险情况的应急处置措施，或者未按照国家有关规定对所托运的危险化学品妥善包装并在外包装上设置相应标志的。</w:t>
            </w: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轻微</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未造成危害后果的</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处5万元的罚款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16</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运输危险化学品需要添加抑制剂或者稳定剂，未添加或者未将有关情况告知承运人的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《道路危险货物运输管理规定》第二十九条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《道路危险货物运输管理规定》第六十条 违反本规定，道路危险货物运输企业或者单位以及托运人有下列情形之一的，由县级以上道路运输管理机构责令改正，并处5万元以上10万元以下的罚款。拒不改正的，责令停产停业整顿:构成犯罪的，依法追究刑事责任:(四)运输危险化学品需要添加抑制剂或者稳定剂，未添加或者未将有关情况告知承运人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06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轻微</w:t>
            </w:r>
          </w:p>
        </w:tc>
        <w:tc>
          <w:tcPr>
            <w:tcW w:w="120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未造成危害后果的</w:t>
            </w:r>
          </w:p>
        </w:tc>
        <w:tc>
          <w:tcPr>
            <w:tcW w:w="160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eastAsia="zh-CN"/>
              </w:rPr>
              <w:t>处</w:t>
            </w:r>
            <w:r>
              <w:rPr>
                <w:rFonts w:hint="eastAsia" w:ascii="宋体" w:hAnsi="宋体" w:eastAsia="宋体" w:cs="宋体"/>
                <w:kern w:val="0"/>
                <w:sz w:val="18"/>
                <w:szCs w:val="18"/>
                <w:vertAlign w:val="baseline"/>
                <w:lang w:val="en-US" w:eastAsia="zh-CN"/>
              </w:rPr>
              <w:t>5万元的罚款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17</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从事危险化学品道路运输驾驶人员、装卸管理人员、押运人员未取得从业资格上岗作业的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《道路危险货物运输管理规定》第八条第三项第二目</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《道路危险货物运输管理规定》第六十条 违反本规定道路危险货物运输企业或者单位以及托运人有下列情形之的，由县级以上道路运输管理机构责令改正。并处5万元以上10万元以下的罚款，拒不改正的，责令停产停业整顿</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构成犯罪的，依法追究刑事责任:(一)驾驶人员、装卸管理人员、押运人员未取得从业资格上岗作业的</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eastAsia="zh-CN"/>
              </w:rPr>
              <w:t>轻微</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eastAsia="zh-CN"/>
              </w:rPr>
              <w:t>未造成危害后果的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eastAsia="zh-CN"/>
              </w:rPr>
              <w:t>处</w:t>
            </w:r>
            <w:r>
              <w:rPr>
                <w:rFonts w:hint="eastAsia" w:ascii="宋体" w:hAnsi="宋体" w:eastAsia="宋体" w:cs="宋体"/>
                <w:kern w:val="0"/>
                <w:sz w:val="18"/>
                <w:szCs w:val="18"/>
                <w:vertAlign w:val="baseline"/>
                <w:lang w:val="en-US" w:eastAsia="zh-CN"/>
              </w:rPr>
              <w:t>5万元的罚款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18</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委托未依法取得危险货物道路运输许可的企业承运危险化学品的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《危险化学品安全管理条例》第四十六条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1.《危险化学品安全管理条例》第八十七条 有下列情形之一的，由交通运输主管部门责令改正，处10万元以上20万元以下的罚款，有违法有得的，没收违法所得</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拒不改正的，责令停产停业整顿</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构成犯罪的，依法追究刑事责任:(-)委托未依法取得危险货物道路运输许可、危险货物水路运输许可的企业承运危险化学品的</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2.《道路危险货物运输管理规定》第六十二条 违反本规定，道路危险化学品运输托运人有下列情形之一的，由县级以上道路运输管理机构责令改正，处10万元以上20万元以下的罚款，有违法有得的，没收违法所得:拒不改正的，责令停产停业整顿</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构成犯罪的，依法追究刑事责任:(一)委托未依法取得危险货物道路运输许可的企业承运危险化学品的。</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轻微</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eastAsia="zh-CN"/>
              </w:rPr>
              <w:t>未造成危害后果的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eastAsia="zh-CN"/>
              </w:rPr>
              <w:t>处</w:t>
            </w:r>
            <w:r>
              <w:rPr>
                <w:rFonts w:hint="eastAsia" w:ascii="宋体" w:hAnsi="宋体" w:eastAsia="宋体" w:cs="宋体"/>
                <w:kern w:val="0"/>
                <w:sz w:val="18"/>
                <w:szCs w:val="18"/>
                <w:vertAlign w:val="baseline"/>
                <w:lang w:val="en-US" w:eastAsia="zh-CN"/>
              </w:rPr>
              <w:t>10万元的罚款，没收违法所得</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19</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在托运的普通货物中夹带危险化学品，或者将危险化学品谎报或者匿报为普通货物托运的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《危险化学品安全管理条例》第六十四条第一款</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1.《危险化学品安全管理条例》第八十七条 有下列情形之一的，由交通运输主管部门责令改正，处10万元以上20万元以下的罚款，有违法有得的，没收违法所得</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拒不改正的，责令停产停业整顿:构成犯罪的，依法追究刑事责任:(四)在托运的普通货物中夹带危险化学品，或者将危险化学品谎报或者匿报为普通货物托运的</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2.《道路危险货物运输管理规定》第六十二条 违反本规定，道路危险化学品运输托运人有下列情形之一的，由县级以上道路运输管理机构责令改正，处10万元以上20万元以下的罚款，有违法有得的，没收违法所得</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拒不改正的，责令停产停业整顿</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构成犯罪的，依法追究刑事责任:(二)在托运的普通货物中夹带危险化学品，或者将危险化学品谎报或者匿报为普通货物托运的</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轻微</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未造成危害后果的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处10万元的罚款，没收违法所得</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20</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拒绝、阻碍道路运输管理机构依法履行放射性物品运输安全监督检查，或者在接受监督检查时弄虚作假的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《放射性物品道路运输管理规定》第三十七条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《放射性物品道路运输管理规定》第三十七条 拒绝阻碍道路运输管理机构依法履行放射性物品运输安全监督检查，或者在接受监督检查时弄虚作假的，由县级以上道路运输管理机构责令改正，处1万元以上2万元以下的罚款</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构成违反治安管理行为的，交由公安机关依法给予治安管理处罚</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构成犯罪的，依法追究刑事责任。</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在接受监督检查时弄虚作假的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责令改正，处1万元罚款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21</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罐式车辆罐体、可移动罐柜、罐箱的关闭装置在运输过程中未处于关闭状态的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《危险货物道路运输安全管理办法》第四十七条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危险货物道路运输安全管理办法》第六十一条 交通运输主管部门对危险货物道路运输车辆驾驶人具有下列情形之一的，应当责令改正，处1000元以上3000元以下的罚款:(二)违反本办法第四十七条，罐式车辆罐体、可移动罐柜、罐箱的关闭装置在运输过程中未处于关闭状态的。</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造成社会影响或危害后果轻微的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责令改正，处1000元罚款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22</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提供的租赁小微型客车不符合《中华人民共和国道路交通安全法》规定的上路行驶条件的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《小微型客车租赁经营服务管理办法》第十二条第二项</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《小微型客车租赁经营服务管理办法》第二十五条小微型客车租赁经营者违反本办法，有下列行为之一的，由小微型客车租赁行政主管部门责令改正，并处 3000元以上1万元以下罚款:(二)提供的租赁小微型客车不符合《中华人民共和国道路交通安全法》规定的上路行驶条件的。</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轻微</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初次违法的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责令改正，罚款</w:t>
            </w:r>
            <w:r>
              <w:rPr>
                <w:rFonts w:hint="eastAsia" w:ascii="宋体" w:hAnsi="宋体" w:eastAsia="宋体" w:cs="宋体"/>
                <w:kern w:val="0"/>
                <w:sz w:val="18"/>
                <w:szCs w:val="18"/>
                <w:vertAlign w:val="baseline"/>
                <w:lang w:val="en-US" w:eastAsia="zh-CN"/>
              </w:rPr>
              <w:t>300</w:t>
            </w:r>
            <w:r>
              <w:rPr>
                <w:rFonts w:hint="eastAsia" w:ascii="宋体" w:hAnsi="宋体" w:eastAsia="宋体" w:cs="宋体"/>
                <w:kern w:val="0"/>
                <w:sz w:val="18"/>
                <w:szCs w:val="18"/>
                <w:vertAlign w:val="baseline"/>
                <w:lang w:eastAsia="zh-CN"/>
              </w:rPr>
              <w:t>0 元</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23</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擅自从事巡游出租汽车经营活动的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《巡游出租汽车经营服务管理规定》(交通运输部令2021年第16号)第八条</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《巡游出租汽车经营服务管理规定》(交通运输部令2021 年第 16 号)第四五条 违反本规定，未取得巡游出租汽车经营许可，擅自从事巡游出租汽车经营活动的，由县级以上地方人民政府出租汽车行政主管部门责令改正，并处以5000元以上20000元以下罚款。构成犯罪的，依法追究刑事责任。</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轻微</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违法所得在 100元以下:或者载客人数在2人(含)以下</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责令改正，并处5000元罚款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24</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船舶未按 规定配备船员擅自航行，或者浮动设施未按规定配备掌握水上交通安全技能的船员擅 自作业的处罚</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《中华人民共和国内河交通安全管理条例》第六条第三项第七条第三项</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中华人民共和国内河交通安全管理条例》第六十五条违反本条例的规定，船舶未按照国务院交通主管部门的规定配备船员擅自航行，或者浮动设施未按照国务院交通主管部门的规定配备掌握水上交通安全技能的船员擅自作业的，由海事管理机构责令限期改正，对船舶、浮动设施所有人或者经营人处1万元以上10万元以下的罚款</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逾期不改正的，责令停航或者停止作业。</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轻微</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未配齐普通船员或未配备掌握安全技能的船员未造成事故发生的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责令限期改正，处10000元罚款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25</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船舶不具备安全技术条件从事货物、旅客运输的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《中华人民共和国内河交通安全管理条例》第八条第二款、第二十一条第一款</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1.《中华人民共和国内河交通安全管理条例》第八十二条违反本条例的规定，船舶不具备安全技术条件从事货物、旅客运输，或者超载运输货物、旅客的，由海事管理机构责今改正，处2 万元以上 10 万元以下的罚款，可以对责任船员给了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2《中华人民共和国内河海事行政处罚规定》第十八条 违反《内河交通安全管理条例》第八条、第二十一条的规定船舶不具备安全技术条件从事货物、旅客运输，或者超载运输货物、超定额运输旅客，依照《内河交通安全管理条例》第八十二条的规定，责令改正，处以 2 万元以上 10 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本条前款所称船舶不具备安全技术条件从事货物、旅客运输，包括以下情形: (-)不遵守船舶、设施的配载和系固安全技术规范</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(二)不按照规定载运易流态化货物，或者不按照规定向海事管理机构备案:(三)遇有不符合安全开航条件的情况而冒险开航:(四)超过核定航区航行</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《五)船舶违规使用低闪点燃油:(六)未按照规定拖带或者非拖船从事拖带作业:(七)未经核准从事大型设施或者移动式平台的水上拖带:(八)未持有《乘客定额证书》:(九)未按照规定配各救生设施: ( 十)船舶不具备安全技术条件从事货物、旅客运输的其他情形</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未造成事故的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eastAsia="zh-CN"/>
              </w:rPr>
              <w:t>处</w:t>
            </w:r>
            <w:r>
              <w:rPr>
                <w:rFonts w:hint="eastAsia" w:ascii="宋体" w:hAnsi="宋体" w:eastAsia="宋体" w:cs="宋体"/>
                <w:kern w:val="0"/>
                <w:sz w:val="18"/>
                <w:szCs w:val="18"/>
                <w:vertAlign w:val="baseline"/>
                <w:lang w:val="en-US" w:eastAsia="zh-CN"/>
              </w:rPr>
              <w:t>20000元罚款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26</w:t>
            </w:r>
          </w:p>
        </w:tc>
        <w:tc>
          <w:tcPr>
            <w:tcW w:w="2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船员不依法履行救助义务或将肇事逃逸的</w:t>
            </w:r>
          </w:p>
        </w:tc>
        <w:tc>
          <w:tcPr>
            <w:tcW w:w="154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《中华人民共和国船员条例》第五十二条第六项</w:t>
            </w:r>
          </w:p>
        </w:tc>
        <w:tc>
          <w:tcPr>
            <w:tcW w:w="651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《中华人民共和国船员条例》第五十二条 违反本条例的规定，船员有下列情形之一的，由海事管理机构处1000元以上1万元以下罚款</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情节严重的，并给予暂扣船员适任证书6个月以上2 年以下直至品销船员适任证书的处罚:(六)不依法履行救助义务或者肇事逃逸的</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轻微</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有危害后果但未造成人员受伤的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处1000元罚款</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27</w:t>
            </w:r>
          </w:p>
        </w:tc>
        <w:tc>
          <w:tcPr>
            <w:tcW w:w="2160"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超核定载重线载运货物</w:t>
            </w:r>
          </w:p>
        </w:tc>
        <w:tc>
          <w:tcPr>
            <w:tcW w:w="1545"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《中华人民共和国内河交通安全管理条例》第二十一条第二款</w:t>
            </w:r>
          </w:p>
        </w:tc>
        <w:tc>
          <w:tcPr>
            <w:tcW w:w="6510"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《中华人民共和国内河交通安全管理条例》第八十二条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2.《中华人民共和国内河海事行政处罚规定》第十八条第一款和第三款第(一)项</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违反《内河交通安全管理条例》第八条、第二十一条的规定，船舶不具备安全技术条件从事货物、旅客运输，或者超载运输货物、超定额运输旅客，依照《内河交通安全管理条例》第八十二条的规定，责令改正，处以 2 万元以上 10 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本条前款所称船舶不具备安全技术条件从事货物、旅客运输，包括以下情形:(一)不遵守船舶、设施的配载和系固安全技术规范:本条第一款所称超载运输货物、超定额运输旅客，包括以下情形:</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(一)超核定载重线载运货物</w:t>
            </w: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065" w:type="dxa"/>
            <w:vMerge w:val="restart"/>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轻微</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船舶300GT150KW以下；实测干弦200毫米及以上，且未发生险情或水上交通事故。</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处罚款2万</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tc>
        <w:tc>
          <w:tcPr>
            <w:tcW w:w="2160"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545"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6510"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065" w:type="dxa"/>
            <w:vMerge w:val="continue"/>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船 舶 300GT及以上1000GT以下450KW及以上500KW以下；实测干弦200毫米及以上，且未发生险情或水上交通事故</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处罚款2</w:t>
            </w:r>
            <w:r>
              <w:rPr>
                <w:rFonts w:hint="eastAsia" w:ascii="宋体" w:hAnsi="宋体" w:eastAsia="宋体" w:cs="宋体"/>
                <w:kern w:val="0"/>
                <w:sz w:val="18"/>
                <w:szCs w:val="18"/>
                <w:vertAlign w:val="baseline"/>
                <w:lang w:val="en-US" w:eastAsia="zh-CN"/>
              </w:rPr>
              <w:t>.1</w:t>
            </w:r>
            <w:r>
              <w:rPr>
                <w:rFonts w:hint="eastAsia" w:ascii="宋体" w:hAnsi="宋体" w:eastAsia="宋体" w:cs="宋体"/>
                <w:kern w:val="0"/>
                <w:sz w:val="18"/>
                <w:szCs w:val="18"/>
                <w:vertAlign w:val="baseline"/>
                <w:lang w:eastAsia="zh-CN"/>
              </w:rPr>
              <w:t>万</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tc>
        <w:tc>
          <w:tcPr>
            <w:tcW w:w="2160"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545"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6510" w:type="dxa"/>
            <w:vMerge w:val="continue"/>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065" w:type="dxa"/>
            <w:vMerge w:val="continue"/>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船舶1000GT/500KW及以上；实测干弦 200毫米及以上，且未发生险情或水上交通事故。</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处罚款2</w:t>
            </w:r>
            <w:r>
              <w:rPr>
                <w:rFonts w:hint="eastAsia" w:ascii="宋体" w:hAnsi="宋体" w:eastAsia="宋体" w:cs="宋体"/>
                <w:kern w:val="0"/>
                <w:sz w:val="18"/>
                <w:szCs w:val="18"/>
                <w:vertAlign w:val="baseline"/>
                <w:lang w:val="en-US" w:eastAsia="zh-CN"/>
              </w:rPr>
              <w:t>.2</w:t>
            </w:r>
            <w:r>
              <w:rPr>
                <w:rFonts w:hint="eastAsia" w:ascii="宋体" w:hAnsi="宋体" w:eastAsia="宋体" w:cs="宋体"/>
                <w:kern w:val="0"/>
                <w:sz w:val="18"/>
                <w:szCs w:val="18"/>
                <w:vertAlign w:val="baseline"/>
                <w:lang w:eastAsia="zh-CN"/>
              </w:rPr>
              <w:t>万</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firstLine="180" w:firstLineChars="10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28</w:t>
            </w:r>
          </w:p>
        </w:tc>
        <w:tc>
          <w:tcPr>
            <w:tcW w:w="2160"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超乘客定额载运旅客</w:t>
            </w:r>
          </w:p>
        </w:tc>
        <w:tc>
          <w:tcPr>
            <w:tcW w:w="1545"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《中华人民共和国内河交通安全管理条例》第二下一条第二款</w:t>
            </w:r>
          </w:p>
        </w:tc>
        <w:tc>
          <w:tcPr>
            <w:tcW w:w="6510" w:type="dxa"/>
            <w:vMerge w:val="restart"/>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1,《中华人民共和国内河交通安全管理条例》第八十二条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w:t>
            </w:r>
            <w:r>
              <w:rPr>
                <w:rFonts w:hint="eastAsia" w:ascii="宋体" w:hAnsi="宋体" w:eastAsia="宋体" w:cs="宋体"/>
                <w:kern w:val="0"/>
                <w:sz w:val="18"/>
                <w:szCs w:val="18"/>
                <w:vertAlign w:val="baseline"/>
                <w:lang w:eastAsia="zh-CN"/>
              </w:rPr>
              <w:t>；</w:t>
            </w:r>
            <w:r>
              <w:rPr>
                <w:rFonts w:hint="eastAsia" w:ascii="宋体" w:hAnsi="宋体" w:eastAsia="宋体" w:cs="宋体"/>
                <w:kern w:val="0"/>
                <w:sz w:val="18"/>
                <w:szCs w:val="18"/>
                <w:vertAlign w:val="baseline"/>
              </w:rPr>
              <w:t>发生重大伤亡事故或者造成其他严重后果的，依照刑法关于重大劳动安全事故罪或者其他罪的规定，依法追究刑事责任。</w:t>
            </w:r>
          </w:p>
          <w:p>
            <w:pPr>
              <w:numPr>
                <w:ilvl w:val="0"/>
                <w:numId w:val="1"/>
              </w:numPr>
              <w:autoSpaceDE w:val="0"/>
              <w:autoSpaceDN w:val="0"/>
              <w:spacing w:before="0" w:after="0" w:line="240" w:lineRule="auto"/>
              <w:ind w:left="0" w:right="0"/>
              <w:jc w:val="left"/>
              <w:rPr>
                <w:rFonts w:hint="eastAsia" w:ascii="宋体" w:hAnsi="宋体" w:eastAsia="宋体" w:cs="宋体"/>
                <w:kern w:val="0"/>
                <w:sz w:val="18"/>
                <w:szCs w:val="18"/>
                <w:vertAlign w:val="baseline"/>
              </w:rPr>
            </w:pPr>
            <w:r>
              <w:rPr>
                <w:rFonts w:hint="eastAsia" w:ascii="宋体" w:hAnsi="宋体" w:eastAsia="宋体" w:cs="宋体"/>
                <w:kern w:val="0"/>
                <w:sz w:val="18"/>
                <w:szCs w:val="18"/>
                <w:vertAlign w:val="baseline"/>
              </w:rPr>
              <w:t>《中华人民共和国内河海事行政处罚规定》第十八条第一款和第三款第(六)项，违反《内河交通安全管理条例》第八条、第二十一条的规定，船舶不具备安全技术条件从事货物、旅客运输，或者超载运输货物、超定额运输旅客，依照《内河交通安全管理条例》第八十条的规定，责令改正，处以 2 万元以上10 万元以下罚款，并可以对责任船员给予扣留船员适任证书或者其他适任证件 6 个月以上直至吊销船员适任证书或者其他适任证件的处罚，并对超载运输的船舶强制卸载，因卸载而发生的卸货费、存货费、旅客安置费和船舶监管费由船舶所有人或者经营人承担。本条第一款所称超载运输货物、超定额运输旅客，包括以下情形:(六)超乘客定额载运旅客。</w:t>
            </w: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较轻</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载运旅客超出乘客定额 1人，且未发生事故的。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firstLine="180" w:firstLineChars="10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处罚款2万</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7" w:hRule="atLeast"/>
        </w:trPr>
        <w:tc>
          <w:tcPr>
            <w:tcW w:w="671" w:type="dxa"/>
            <w:vMerge w:val="continue"/>
            <w:tcBorders/>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tc>
        <w:tc>
          <w:tcPr>
            <w:tcW w:w="2160" w:type="dxa"/>
            <w:vMerge w:val="continue"/>
            <w:tcBorders/>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545" w:type="dxa"/>
            <w:vMerge w:val="continue"/>
            <w:tcBorders/>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6510" w:type="dxa"/>
            <w:vMerge w:val="continue"/>
            <w:tcBorders/>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c>
          <w:tcPr>
            <w:tcW w:w="106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一般</w:t>
            </w:r>
          </w:p>
        </w:tc>
        <w:tc>
          <w:tcPr>
            <w:tcW w:w="1200"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 xml:space="preserve">载运旅客超出乘客定额 </w:t>
            </w:r>
            <w:r>
              <w:rPr>
                <w:rFonts w:hint="eastAsia" w:ascii="宋体" w:hAnsi="宋体" w:eastAsia="宋体" w:cs="宋体"/>
                <w:kern w:val="0"/>
                <w:sz w:val="18"/>
                <w:szCs w:val="18"/>
                <w:vertAlign w:val="baseline"/>
                <w:lang w:val="en-US" w:eastAsia="zh-CN"/>
              </w:rPr>
              <w:t>2</w:t>
            </w:r>
            <w:r>
              <w:rPr>
                <w:rFonts w:hint="eastAsia" w:ascii="宋体" w:hAnsi="宋体" w:eastAsia="宋体" w:cs="宋体"/>
                <w:kern w:val="0"/>
                <w:sz w:val="18"/>
                <w:szCs w:val="18"/>
                <w:vertAlign w:val="baseline"/>
                <w:lang w:eastAsia="zh-CN"/>
              </w:rPr>
              <w:t>人，且未发生事故的</w:t>
            </w:r>
          </w:p>
        </w:tc>
        <w:tc>
          <w:tcPr>
            <w:tcW w:w="1605" w:type="dxa"/>
            <w:vAlign w:val="top"/>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处罚款2</w:t>
            </w:r>
            <w:r>
              <w:rPr>
                <w:rFonts w:hint="eastAsia" w:ascii="宋体" w:hAnsi="宋体" w:eastAsia="宋体" w:cs="宋体"/>
                <w:kern w:val="0"/>
                <w:sz w:val="18"/>
                <w:szCs w:val="18"/>
                <w:vertAlign w:val="baseline"/>
                <w:lang w:val="en-US" w:eastAsia="zh-CN"/>
              </w:rPr>
              <w:t>.5</w:t>
            </w:r>
            <w:r>
              <w:rPr>
                <w:rFonts w:hint="eastAsia" w:ascii="宋体" w:hAnsi="宋体" w:eastAsia="宋体" w:cs="宋体"/>
                <w:kern w:val="0"/>
                <w:sz w:val="18"/>
                <w:szCs w:val="18"/>
                <w:vertAlign w:val="baseline"/>
                <w:lang w:eastAsia="zh-CN"/>
              </w:rPr>
              <w:t>万</w:t>
            </w:r>
          </w:p>
        </w:tc>
        <w:tc>
          <w:tcPr>
            <w:tcW w:w="689"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rPr>
            </w:pPr>
          </w:p>
        </w:tc>
      </w:tr>
    </w:tbl>
    <w:p>
      <w:pPr>
        <w:tabs>
          <w:tab w:val="left" w:pos="3965"/>
        </w:tabs>
        <w:rPr>
          <w:rFonts w:hint="eastAsia"/>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bl>
      <w:tblPr>
        <w:tblStyle w:val="4"/>
        <w:tblpPr w:leftFromText="180" w:rightFromText="180" w:vertAnchor="page" w:horzAnchor="page" w:tblpX="759" w:tblpY="1831"/>
        <w:tblOverlap w:val="never"/>
        <w:tblW w:w="15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95"/>
        <w:gridCol w:w="3525"/>
        <w:gridCol w:w="4695"/>
        <w:gridCol w:w="720"/>
        <w:gridCol w:w="2145"/>
        <w:gridCol w:w="1137"/>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705" w:type="dxa"/>
            <w:vMerge w:val="restart"/>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序号</w:t>
            </w:r>
          </w:p>
        </w:tc>
        <w:tc>
          <w:tcPr>
            <w:tcW w:w="1395" w:type="dxa"/>
            <w:vMerge w:val="restart"/>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违法行为</w:t>
            </w:r>
          </w:p>
        </w:tc>
        <w:tc>
          <w:tcPr>
            <w:tcW w:w="3525" w:type="dxa"/>
            <w:vMerge w:val="restart"/>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违法依据</w:t>
            </w:r>
          </w:p>
        </w:tc>
        <w:tc>
          <w:tcPr>
            <w:tcW w:w="4695" w:type="dxa"/>
            <w:vMerge w:val="restart"/>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处罚依据</w:t>
            </w:r>
          </w:p>
        </w:tc>
        <w:tc>
          <w:tcPr>
            <w:tcW w:w="720" w:type="dxa"/>
            <w:vMerge w:val="restart"/>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情节</w:t>
            </w:r>
          </w:p>
        </w:tc>
        <w:tc>
          <w:tcPr>
            <w:tcW w:w="2145" w:type="dxa"/>
            <w:vMerge w:val="restart"/>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裁量事实</w:t>
            </w:r>
          </w:p>
        </w:tc>
        <w:tc>
          <w:tcPr>
            <w:tcW w:w="2274" w:type="dxa"/>
            <w:gridSpan w:val="2"/>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处罚基准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705" w:type="dxa"/>
            <w:vMerge w:val="continue"/>
            <w:vAlign w:val="center"/>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1395" w:type="dxa"/>
            <w:vMerge w:val="continue"/>
            <w:vAlign w:val="center"/>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3525" w:type="dxa"/>
            <w:vMerge w:val="continue"/>
            <w:vAlign w:val="center"/>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4695" w:type="dxa"/>
            <w:vMerge w:val="continue"/>
            <w:vAlign w:val="center"/>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720" w:type="dxa"/>
            <w:vMerge w:val="continue"/>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p>
        </w:tc>
        <w:tc>
          <w:tcPr>
            <w:tcW w:w="2145" w:type="dxa"/>
            <w:vMerge w:val="continue"/>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p>
        </w:tc>
        <w:tc>
          <w:tcPr>
            <w:tcW w:w="1137"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单位</w:t>
            </w:r>
          </w:p>
        </w:tc>
        <w:tc>
          <w:tcPr>
            <w:tcW w:w="1137"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firstLine="220" w:firstLineChars="100"/>
              <w:jc w:val="left"/>
              <w:rPr>
                <w:rFonts w:hint="default" w:ascii="宋体" w:hAnsi="宋体" w:eastAsia="宋体" w:cs="宋体"/>
                <w:kern w:val="0"/>
                <w:sz w:val="22"/>
                <w:szCs w:val="22"/>
                <w:vertAlign w:val="baseline"/>
                <w:lang w:val="en-US" w:eastAsia="zh-CN"/>
              </w:rPr>
            </w:pPr>
            <w:r>
              <w:rPr>
                <w:rFonts w:hint="eastAsia" w:ascii="宋体" w:hAnsi="宋体" w:eastAsia="宋体" w:cs="宋体"/>
                <w:kern w:val="0"/>
                <w:sz w:val="22"/>
                <w:szCs w:val="22"/>
                <w:vertAlign w:val="baseline"/>
                <w:lang w:val="en-US" w:eastAsia="zh-CN"/>
              </w:rPr>
              <w:t>29</w:t>
            </w:r>
          </w:p>
        </w:tc>
        <w:tc>
          <w:tcPr>
            <w:tcW w:w="139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施工单位不按照工程设计图纸或者施工技术标准施工或在施工中偷工减料的，使用不合格的建筑材料、建筑构配件和设备</w:t>
            </w:r>
          </w:p>
        </w:tc>
        <w:tc>
          <w:tcPr>
            <w:tcW w:w="352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建设工程质量管理条例》第二十八条施工单位必须按照工程设计图纸和施工技术标准施工，不得擅自修改工程设计，不得偷工减料。施工单位在施工过程中发现设计文件和图纸有差错的,应当及时提出意见和建议。第二十九条 施工单位必须按照工程设计要求、施工技术标准和合同约定，对建筑材料、建筑构配件设备和商品混凝土进行检验，检验应当有书面记录和专人签字；未经检验或者检验不合格的，不得使用。</w:t>
            </w:r>
          </w:p>
        </w:tc>
        <w:tc>
          <w:tcPr>
            <w:tcW w:w="469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《建设工程质量管理条例》第六十四条 违反本条例规定，施工单位在施工中偷工减料的，使用不合格的建筑材料、建筑构配件和设备的.或者有不按照工程设计图纸或者施工技术标准施工的其他行为的，责令改正，处工程合同价款 2%以上 4%以下的罚款:造成建设工程质量不符合规定的质量标准的，负责返工、修理，并赔偿因此造成的损失:情节严重的责令停业整顿，降低资质等级或者吊销资质证书。第七十三条 依照本条例规定，给予单位罚款处罚的，对单位直接负责的主管人员和其他直接责任人员处单位罚款数额 5%以上10%%以下的罚款。</w:t>
            </w:r>
          </w:p>
        </w:tc>
        <w:tc>
          <w:tcPr>
            <w:tcW w:w="720"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较轻</w:t>
            </w: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同一合同段首次实施违法行为，且出现质量问题的材料、构配件、设备、工程实体能够更换、返工、修理，满足原设计要求的，未导致质量事故</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责令改正，处所涉及分项工程合同价款2%的罚款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直接负责的主管人员和其他直接责任人员处单位罚款数额百分之五的罚款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70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default" w:ascii="宋体" w:hAnsi="宋体" w:eastAsia="宋体" w:cs="宋体"/>
                <w:kern w:val="0"/>
                <w:sz w:val="22"/>
                <w:szCs w:val="22"/>
                <w:vertAlign w:val="baseline"/>
                <w:lang w:val="en-US" w:eastAsia="zh-CN"/>
              </w:rPr>
            </w:pPr>
            <w:r>
              <w:rPr>
                <w:rFonts w:hint="eastAsia" w:ascii="宋体" w:hAnsi="宋体" w:eastAsia="宋体" w:cs="宋体"/>
                <w:kern w:val="0"/>
                <w:sz w:val="22"/>
                <w:szCs w:val="22"/>
                <w:vertAlign w:val="baseline"/>
                <w:lang w:val="en-US" w:eastAsia="zh-CN"/>
              </w:rPr>
              <w:t>30</w:t>
            </w:r>
          </w:p>
        </w:tc>
        <w:tc>
          <w:tcPr>
            <w:tcW w:w="139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施工单位特种作业人员未按照规定经专门的安全培训并取得相应资格，上岗作业</w:t>
            </w:r>
          </w:p>
        </w:tc>
        <w:tc>
          <w:tcPr>
            <w:tcW w:w="352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《中华人民共和国安全生产法》第十条第一款 生产经营单位的特种作业人员必须按照国家有关规定经专门的安全作业培训，取得相应资格，方可上岗作业。</w:t>
            </w:r>
          </w:p>
        </w:tc>
        <w:tc>
          <w:tcPr>
            <w:tcW w:w="469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中华人民共和国安全生产法》第九十七条生产经营单位有下列行为之一的，对责任单位责令限期改正，处十万元以下的罚款:逾期未改正的，对责任单位责令停产停业整顿，并处十万元以上二十万元以下的罚款，对其直接负责的主管人员和其他直接责任人员处二万元以上五万元以下的罚款:(七)特种作业人员未按照规定经专门的安全作业培训并取得相应资格，上岗作业的。</w:t>
            </w:r>
          </w:p>
        </w:tc>
        <w:tc>
          <w:tcPr>
            <w:tcW w:w="720"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较轻</w:t>
            </w: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同一合同段首次实施违法行为，仅有1名特种作业人员未按照规定经专门的安全培训取得相应的安全作业培训取得相应资格，未导致生产安全事故</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责令限期改正,处 3000元的罚款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705" w:type="dxa"/>
            <w:vMerge w:val="continue"/>
            <w:tcBorders/>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1395" w:type="dxa"/>
            <w:vMerge w:val="continue"/>
            <w:tcBorders/>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3525" w:type="dxa"/>
            <w:vMerge w:val="continue"/>
            <w:tcBorders/>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4695" w:type="dxa"/>
            <w:vMerge w:val="continue"/>
            <w:tcBorders/>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720"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同一合同段首次实施违法行为，有2名特种作业人员未按照规定经专门的安全培训取得相应的安全作业培训取得相应资格，未导致生产安全事故</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责令限期改正，处 1万元的罚款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705" w:type="dxa"/>
            <w:vMerge w:val="continue"/>
            <w:tcBorders/>
          </w:tcPr>
          <w:p>
            <w:pPr>
              <w:autoSpaceDE w:val="0"/>
              <w:autoSpaceDN w:val="0"/>
              <w:spacing w:before="0" w:after="0" w:line="240" w:lineRule="auto"/>
              <w:ind w:left="0" w:right="0"/>
              <w:jc w:val="left"/>
              <w:rPr>
                <w:rFonts w:hint="default" w:ascii="宋体" w:hAnsi="宋体" w:eastAsia="宋体" w:cs="宋体"/>
                <w:kern w:val="0"/>
                <w:sz w:val="22"/>
                <w:szCs w:val="22"/>
                <w:vertAlign w:val="baseline"/>
                <w:lang w:val="en-US" w:eastAsia="zh-CN"/>
              </w:rPr>
            </w:pPr>
          </w:p>
        </w:tc>
        <w:tc>
          <w:tcPr>
            <w:tcW w:w="1395" w:type="dxa"/>
            <w:vMerge w:val="continue"/>
            <w:tcBorders/>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3525" w:type="dxa"/>
            <w:vMerge w:val="continue"/>
            <w:tcBorders/>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4695" w:type="dxa"/>
            <w:vMerge w:val="continue"/>
            <w:tcBorders/>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720"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一般</w:t>
            </w: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同一合同段首次实施违法行为，有3名及以上特种作业人员未按照规定经专门的安全培训取得相应的安全作业培训取得相应资格，未导致生产安全事故</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 xml:space="preserve">责令限期改正，处 </w:t>
            </w:r>
            <w:r>
              <w:rPr>
                <w:rFonts w:hint="eastAsia" w:ascii="宋体" w:hAnsi="宋体" w:eastAsia="宋体" w:cs="宋体"/>
                <w:kern w:val="0"/>
                <w:sz w:val="22"/>
                <w:szCs w:val="22"/>
                <w:vertAlign w:val="baseline"/>
                <w:lang w:val="en-US" w:eastAsia="zh-CN"/>
              </w:rPr>
              <w:t>3</w:t>
            </w:r>
            <w:r>
              <w:rPr>
                <w:rFonts w:hint="eastAsia" w:ascii="宋体" w:hAnsi="宋体" w:eastAsia="宋体" w:cs="宋体"/>
                <w:kern w:val="0"/>
                <w:sz w:val="22"/>
                <w:szCs w:val="22"/>
                <w:vertAlign w:val="baseline"/>
                <w:lang w:eastAsia="zh-CN"/>
              </w:rPr>
              <w:t>万元的罚款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70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default" w:ascii="宋体" w:hAnsi="宋体" w:eastAsia="宋体" w:cs="宋体"/>
                <w:kern w:val="0"/>
                <w:sz w:val="22"/>
                <w:szCs w:val="22"/>
                <w:vertAlign w:val="baseline"/>
                <w:lang w:val="en-US" w:eastAsia="zh-CN"/>
              </w:rPr>
            </w:pPr>
            <w:r>
              <w:rPr>
                <w:rFonts w:hint="eastAsia" w:ascii="宋体" w:hAnsi="宋体" w:eastAsia="宋体" w:cs="宋体"/>
                <w:kern w:val="0"/>
                <w:sz w:val="22"/>
                <w:szCs w:val="22"/>
                <w:vertAlign w:val="baseline"/>
                <w:lang w:val="en-US" w:eastAsia="zh-CN"/>
              </w:rPr>
              <w:t>31</w:t>
            </w:r>
          </w:p>
        </w:tc>
        <w:tc>
          <w:tcPr>
            <w:tcW w:w="139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施工单位使用应当淘汰的危及生产安全的工艺、设备</w:t>
            </w:r>
          </w:p>
        </w:tc>
        <w:tc>
          <w:tcPr>
            <w:tcW w:w="352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1.《中华人民共和国安全生产法》第三十八条国家对严重危及生产安全的工艺、设备实行淘汰制度，具体日录由国务院应急管理部门会同国务院有关部门制定并公布。法律、行政法规对目录的制定另有规定的，适用其规定。省、自治区、直辖市人民政府可以根据本地区实际情况制定并公布具体目录，对前款规定以外的危及生产安全的工艺、设备予以淘汰生产经营单位不得使用应当淘法的危及生产安全的工艺、设备。</w:t>
            </w:r>
          </w:p>
        </w:tc>
        <w:tc>
          <w:tcPr>
            <w:tcW w:w="469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《中华人民共和国安全生产法》第九十九条 生产经营单位有下列行为之一的，对责任单位责令限期改正，可以处五万元以下的罚款；逾期未改正的，处五万元以上十万元以下的罚款，对其直接负责的主管人员和其他直接责任人员处一万元以上万元以下的罚款；情节严重的，对责任单位责令停产停业整顿；构成犯罪的，依照刑法有关规定追究刑事责任:(七)使用应当淘汰的危及生产安全的工艺、设备的。</w:t>
            </w:r>
          </w:p>
        </w:tc>
        <w:tc>
          <w:tcPr>
            <w:tcW w:w="720"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较轻</w:t>
            </w: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同一合同段首次实施违法行为，在具备淘汰条件的区域采用限制类的危及生产安全的工艺、设备，从业人员在3 人以下，未导致生产安全事故</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责令限期改正，处 1.5万元的罚款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3" w:hRule="atLeast"/>
        </w:trPr>
        <w:tc>
          <w:tcPr>
            <w:tcW w:w="70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139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352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469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720"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同一合同段首次实施违法行为，使用应当淘汰的禁止类危及生产安全的工艺、设备，从业人员在 3 人以下，未导致生产安全事故</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责令限期改正，处 2万元的罚款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5" w:hRule="atLeast"/>
        </w:trPr>
        <w:tc>
          <w:tcPr>
            <w:tcW w:w="70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default" w:ascii="宋体" w:hAnsi="宋体" w:eastAsia="宋体" w:cs="宋体"/>
                <w:kern w:val="0"/>
                <w:sz w:val="22"/>
                <w:szCs w:val="22"/>
                <w:vertAlign w:val="baseline"/>
                <w:lang w:val="en-US" w:eastAsia="zh-CN"/>
              </w:rPr>
            </w:pPr>
            <w:r>
              <w:rPr>
                <w:rFonts w:hint="eastAsia" w:ascii="宋体" w:hAnsi="宋体" w:eastAsia="宋体" w:cs="宋体"/>
                <w:kern w:val="0"/>
                <w:sz w:val="22"/>
                <w:szCs w:val="22"/>
                <w:vertAlign w:val="baseline"/>
                <w:lang w:val="en-US" w:eastAsia="zh-CN"/>
              </w:rPr>
              <w:t>32</w:t>
            </w:r>
          </w:p>
        </w:tc>
        <w:tc>
          <w:tcPr>
            <w:tcW w:w="139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施工单位未对建筑材料、建筑构配件、设备和商品混凝土进行检验或者未对涉及结构安全的试块、试件以及有关材料取样检测</w:t>
            </w:r>
          </w:p>
        </w:tc>
        <w:tc>
          <w:tcPr>
            <w:tcW w:w="352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1.《建设工程质量管理条例》第二十九条 施工单位必须按照工程设计要求、施工技术标准和合同约定，对建筑材料、建筑构配件、设备和商品混凝土进行检验，检验应当有书面记录和专人签字:未经检验或者检验不合格的，不得使用。第三十一条施工人员对涉及结构安全的试块、试件以及有关材料，应当在建设单位或者工程监理单位监督下现场取样，并送具有相应资质等级的质量检测单位进行检测。2.《公路水运工程质量监督管理规定》第十四条 施工单位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人使用</w:t>
            </w:r>
          </w:p>
        </w:tc>
        <w:tc>
          <w:tcPr>
            <w:tcW w:w="469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1.《建设工程质量管理条例》第六十五条 违反本条例规定，施工单位未对建筑材料、建筑构配件、设备和商品混凝土进行检验，或者未对涉及结构安全的试块、试件以及有关材料取样检测的，对责任单位责令改正，处10万元以上20万元以下的罚款；情节严重的，对责任单位责令停业整顿，降低资质等级或者吊销资质证书:造成损失的，依法承担赔偿责任。2.第七十三条依照本条例规定，给予单位罚款处罚的，对单位直接负责的主管人员和其他直接责任人员处单位罚款数额5%以上10%以下的罚款。3.《公路水运工程质量监督管理规定》第四十一条 违反本规定第十四条规定，施工单位未按规定对原材料、混合料、构配件等进行检验的，依照《建设工程质量管理条例》第六十五条规定，对责任单位责令改正，按以下标准处以罚款:情节严重的.对责任单位责令停工整顿:(一)未造成工程质量事故的，处10万元以上15万元以下的罚款:(二)造成工程质量事故的，处15万元以上20万元以下的罚款。</w:t>
            </w:r>
          </w:p>
        </w:tc>
        <w:tc>
          <w:tcPr>
            <w:tcW w:w="720"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较轻</w:t>
            </w: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同一合同段首次实施违法行为，单个自检项目检测频率不满足规范要求，已进人下道工序或投入使用，未导致工程质量事故的</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责令改正，处 10万元的罚款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直接负责的主管人员和其他直接责任人员处单位罚款数额百分之五的罚款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rPr>
        <w:tc>
          <w:tcPr>
            <w:tcW w:w="70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default" w:ascii="宋体" w:hAnsi="宋体" w:eastAsia="宋体" w:cs="宋体"/>
                <w:kern w:val="0"/>
                <w:sz w:val="22"/>
                <w:szCs w:val="22"/>
                <w:vertAlign w:val="baseline"/>
                <w:lang w:val="en-US" w:eastAsia="zh-CN"/>
              </w:rPr>
            </w:pPr>
            <w:r>
              <w:rPr>
                <w:rFonts w:hint="eastAsia" w:ascii="宋体" w:hAnsi="宋体" w:eastAsia="宋体" w:cs="宋体"/>
                <w:kern w:val="0"/>
                <w:sz w:val="22"/>
                <w:szCs w:val="22"/>
                <w:vertAlign w:val="baseline"/>
                <w:lang w:val="en-US" w:eastAsia="zh-CN"/>
              </w:rPr>
              <w:t>33</w:t>
            </w:r>
          </w:p>
        </w:tc>
        <w:tc>
          <w:tcPr>
            <w:tcW w:w="139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施工单位未按照规定设置安全生产管理机构或者配备安全生产管理人员</w:t>
            </w:r>
          </w:p>
        </w:tc>
        <w:tc>
          <w:tcPr>
            <w:tcW w:w="3525" w:type="dxa"/>
            <w:vMerge w:val="restart"/>
          </w:tcPr>
          <w:p>
            <w:pPr>
              <w:numPr>
                <w:numId w:val="0"/>
              </w:numPr>
              <w:autoSpaceDE w:val="0"/>
              <w:autoSpaceDN w:val="0"/>
              <w:spacing w:before="0" w:after="0" w:line="240" w:lineRule="auto"/>
              <w:ind w:right="0" w:rightChars="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val="en-US" w:eastAsia="zh-CN"/>
              </w:rPr>
              <w:t>1.</w:t>
            </w:r>
            <w:r>
              <w:rPr>
                <w:rFonts w:hint="eastAsia" w:ascii="宋体" w:hAnsi="宋体" w:eastAsia="宋体" w:cs="宋体"/>
                <w:kern w:val="0"/>
                <w:sz w:val="22"/>
                <w:szCs w:val="22"/>
                <w:vertAlign w:val="baseline"/>
                <w:lang w:eastAsia="zh-CN"/>
              </w:rPr>
              <w:t>《中华人民共和国安全生产法》第二十四条 矿山、金属冶炼、建筑施工、运输单位和危险物品的生产、经营、储存、装卸单位，应当设置安全生产管理机构或者配备专职安全生产管理人员。前款规定以外的其他生产经营单位，从业人员超过一百人的，应当设置安全生产管理机构或者配备专职安全生产管理人员:从业人员在一百人以下的,应当配备专职或者兼职的安全生产管理人员。2.《公路水运工程安全生产监督管理办法》(交通运输部令2017年第25号)第十四条第二款 施工单位应当设置安全生产管理机构或者配备专职安全生产管理人员。施工单位应当根据工程施工作业特点、安全风险以及施工组织难度，按照年度施工产值配备专职安全生产管理人员，不足5000万元的至少配备</w:t>
            </w:r>
            <w:r>
              <w:rPr>
                <w:rFonts w:hint="eastAsia" w:ascii="宋体" w:hAnsi="宋体" w:eastAsia="宋体" w:cs="宋体"/>
                <w:kern w:val="0"/>
                <w:sz w:val="22"/>
                <w:szCs w:val="22"/>
                <w:vertAlign w:val="baseline"/>
                <w:lang w:val="en-US" w:eastAsia="zh-CN"/>
              </w:rPr>
              <w:t>1</w:t>
            </w:r>
            <w:r>
              <w:rPr>
                <w:rFonts w:hint="eastAsia" w:ascii="宋体" w:hAnsi="宋体" w:eastAsia="宋体" w:cs="宋体"/>
                <w:kern w:val="0"/>
                <w:sz w:val="22"/>
                <w:szCs w:val="22"/>
                <w:vertAlign w:val="baseline"/>
                <w:lang w:eastAsia="zh-CN"/>
              </w:rPr>
              <w:t>名；5000万元以上不足2亿元的按每5000万元不少于1名的比例配备；2亿元以上的不少于5名，且按专业配备。</w:t>
            </w:r>
          </w:p>
        </w:tc>
        <w:tc>
          <w:tcPr>
            <w:tcW w:w="469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《中华人民共和国安全生产法》第九十七条 生产经营单位有下列行为之一的，对责任单位责令限期改正，处十万元以下的罚款；逾期未改正的，对责任单位责令停产停业整顿，并处十万元以上二十万元以下的罚款，对其直接负责的主管人员和其他直接责任人员处二万元以上五万元以下的罚款:(一未按照规定设置安全生产管理机构或者配备安全生产管理人员、注册安全工程师的</w:t>
            </w:r>
          </w:p>
        </w:tc>
        <w:tc>
          <w:tcPr>
            <w:tcW w:w="720"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较轻</w:t>
            </w: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同一合同段首次实施违法行为，专职安全生产管理人员已配备的比例在80%以上，未导致生产安全事故</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责令限期改正,处3000元的罚款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0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139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352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469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720"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同一合同段首次实施违法行为，专职安全生产管理人员配备比例超过50%，但不足80%，未导致生产安全事故</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责令限期改正，处1 万元的罚款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70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val="en-US" w:eastAsia="zh-CN"/>
              </w:rPr>
            </w:pPr>
          </w:p>
          <w:p>
            <w:pPr>
              <w:autoSpaceDE w:val="0"/>
              <w:autoSpaceDN w:val="0"/>
              <w:spacing w:before="0" w:after="0" w:line="240" w:lineRule="auto"/>
              <w:ind w:left="0" w:right="0"/>
              <w:jc w:val="left"/>
              <w:rPr>
                <w:rFonts w:hint="default" w:ascii="宋体" w:hAnsi="宋体" w:eastAsia="宋体" w:cs="宋体"/>
                <w:kern w:val="0"/>
                <w:sz w:val="22"/>
                <w:szCs w:val="22"/>
                <w:vertAlign w:val="baseline"/>
                <w:lang w:val="en-US" w:eastAsia="zh-CN"/>
              </w:rPr>
            </w:pPr>
            <w:r>
              <w:rPr>
                <w:rFonts w:hint="eastAsia" w:ascii="宋体" w:hAnsi="宋体" w:eastAsia="宋体" w:cs="宋体"/>
                <w:kern w:val="0"/>
                <w:sz w:val="22"/>
                <w:szCs w:val="22"/>
                <w:vertAlign w:val="baseline"/>
                <w:lang w:val="en-US" w:eastAsia="zh-CN"/>
              </w:rPr>
              <w:t>34</w:t>
            </w:r>
          </w:p>
        </w:tc>
        <w:tc>
          <w:tcPr>
            <w:tcW w:w="139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施工单位未在有较大危险因素的生产经营场所和有关设施、设备上设置明显的安全警示标志</w:t>
            </w:r>
          </w:p>
        </w:tc>
        <w:tc>
          <w:tcPr>
            <w:tcW w:w="352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1.《中华人民共和国安全生产法》第三十五条 生产经营单位应当在有较大危险因素的生产经营场所和有关设施、设备上，设置明显的安全警示标志。2.《建设工程安全生产管理条例》第二十八条第一款施工单位应当在施工现场人口处、施工起重机械、临时用电设施、脚手架、出入通道口、楼梯口、电梯井口、孔洞口、桥梁口、隧道口、基坑边沿爆破物及有害危险气体和液体存放处等危险部位.设置明显的安全警示标志。安全警示标志必须符合国家标准。</w:t>
            </w:r>
          </w:p>
        </w:tc>
        <w:tc>
          <w:tcPr>
            <w:tcW w:w="4695"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1.《中华人民共和国安全生产法》第九十九条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一)未在有较大危险因素的生产经营场所和有关设施、设备上设置明显的安全警示标志的。</w:t>
            </w:r>
          </w:p>
        </w:tc>
        <w:tc>
          <w:tcPr>
            <w:tcW w:w="720" w:type="dxa"/>
            <w:vMerge w:val="restart"/>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较轻</w:t>
            </w: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同一合同段首次发现1处未在有较大危险因素的生产经营场所和有关设施、设备上设置明显的安全警示标志，未导致生产安全事故</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责令限期改正,处 3000元的罚款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7" w:hRule="atLeast"/>
        </w:trPr>
        <w:tc>
          <w:tcPr>
            <w:tcW w:w="70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139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352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4695"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720" w:type="dxa"/>
            <w:vMerge w:val="continue"/>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c>
          <w:tcPr>
            <w:tcW w:w="2145"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同一合同段首次发现2-4处未在有较大危险因素的生产经营场所和有关设施、设备上设置明显的安全警示标志，未导致生产安全事故</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r>
              <w:rPr>
                <w:rFonts w:hint="eastAsia" w:ascii="宋体" w:hAnsi="宋体" w:eastAsia="宋体" w:cs="宋体"/>
                <w:kern w:val="0"/>
                <w:sz w:val="22"/>
                <w:szCs w:val="22"/>
                <w:vertAlign w:val="baseline"/>
                <w:lang w:eastAsia="zh-CN"/>
              </w:rPr>
              <w:t>责令限期改正，处1万元的罚款</w:t>
            </w:r>
          </w:p>
        </w:tc>
        <w:tc>
          <w:tcPr>
            <w:tcW w:w="1137" w:type="dxa"/>
          </w:tcPr>
          <w:p>
            <w:pPr>
              <w:autoSpaceDE w:val="0"/>
              <w:autoSpaceDN w:val="0"/>
              <w:spacing w:before="0" w:after="0" w:line="240" w:lineRule="auto"/>
              <w:ind w:left="0" w:right="0"/>
              <w:jc w:val="left"/>
              <w:rPr>
                <w:rFonts w:hint="eastAsia" w:ascii="宋体" w:hAnsi="宋体" w:eastAsia="宋体" w:cs="宋体"/>
                <w:kern w:val="0"/>
                <w:sz w:val="22"/>
                <w:szCs w:val="22"/>
                <w:vertAlign w:val="baseline"/>
                <w:lang w:eastAsia="zh-CN"/>
              </w:rPr>
            </w:pPr>
          </w:p>
        </w:tc>
      </w:tr>
    </w:tbl>
    <w:p>
      <w:pPr>
        <w:bidi w:val="0"/>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注：1项</w:t>
      </w:r>
      <w:bookmarkStart w:id="0" w:name="_GoBack"/>
      <w:bookmarkEnd w:id="0"/>
      <w:r>
        <w:rPr>
          <w:rFonts w:hint="eastAsia" w:cstheme="minorBidi"/>
          <w:kern w:val="2"/>
          <w:sz w:val="21"/>
          <w:szCs w:val="24"/>
          <w:lang w:val="en-US" w:eastAsia="zh-CN" w:bidi="ar-SA"/>
        </w:rPr>
        <w:t>—34项依据为《川渝黔滇地区统一交通运输行政处罚裁量基准（第一批）》</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C9EC6"/>
    <w:multiLevelType w:val="singleLevel"/>
    <w:tmpl w:val="385C9EC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wZjkwODdiZWRkNGFkYzFmNDA0OGYxMjA2MWYwNmUifQ=="/>
  </w:docVars>
  <w:rsids>
    <w:rsidRoot w:val="7CB07589"/>
    <w:rsid w:val="00F00499"/>
    <w:rsid w:val="04BD106C"/>
    <w:rsid w:val="06924149"/>
    <w:rsid w:val="08510EF1"/>
    <w:rsid w:val="12980F35"/>
    <w:rsid w:val="19053D5D"/>
    <w:rsid w:val="1BA16082"/>
    <w:rsid w:val="1CAD0994"/>
    <w:rsid w:val="1D1E3640"/>
    <w:rsid w:val="22433B81"/>
    <w:rsid w:val="23260A0E"/>
    <w:rsid w:val="2F00025C"/>
    <w:rsid w:val="3C553E04"/>
    <w:rsid w:val="57AE16DF"/>
    <w:rsid w:val="58573ACF"/>
    <w:rsid w:val="5F6F6A29"/>
    <w:rsid w:val="67DE4A60"/>
    <w:rsid w:val="69141691"/>
    <w:rsid w:val="693E5DE7"/>
    <w:rsid w:val="749F7D37"/>
    <w:rsid w:val="76781DCD"/>
    <w:rsid w:val="7B1165B7"/>
    <w:rsid w:val="7CB075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ind w:left="1104" w:right="1112"/>
      <w:jc w:val="center"/>
      <w:outlineLvl w:val="1"/>
    </w:pPr>
    <w:rPr>
      <w:rFonts w:ascii="宋体" w:hAnsi="宋体" w:eastAsia="宋体" w:cs="宋体"/>
      <w:sz w:val="44"/>
      <w:szCs w:val="4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12467</Words>
  <Characters>12879</Characters>
  <Lines>0</Lines>
  <Paragraphs>0</Paragraphs>
  <TotalTime>36</TotalTime>
  <ScaleCrop>false</ScaleCrop>
  <LinksUpToDate>false</LinksUpToDate>
  <CharactersWithSpaces>12989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2023-06-26T13:49:00Z</dcterms:created>
  <dc:creator>Administrator</dc:creator>
  <cp:lastModifiedBy>Administrator</cp:lastModifiedBy>
  <dcterms:modified xsi:type="dcterms:W3CDTF">2023-06-27T15:04:39Z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BDA4348511D341F8A0A53BEEA7D77F36_11</vt:lpwstr>
  </property>
</Properties>
</file>