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807C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广元市退役军人事务局</w:t>
      </w:r>
      <w:r>
        <w:rPr>
          <w:rFonts w:hint="eastAsia" w:ascii="方正小标宋简体" w:hAnsi="方正小标宋简体" w:eastAsia="方正小标宋简体" w:cs="方正小标宋简体"/>
          <w:sz w:val="44"/>
          <w:szCs w:val="44"/>
          <w:lang w:val="en-US" w:eastAsia="zh-CN"/>
        </w:rPr>
        <w:t>2024年度</w:t>
      </w:r>
    </w:p>
    <w:p w14:paraId="6817BE6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行政执法集中公示目录</w:t>
      </w:r>
    </w:p>
    <w:p w14:paraId="1237BD49">
      <w:pPr>
        <w:bidi w:val="0"/>
        <w:rPr>
          <w:rFonts w:hint="default"/>
        </w:rPr>
      </w:pPr>
      <w:r>
        <w:rPr>
          <w:lang w:val="en-US" w:eastAsia="zh-CN"/>
        </w:rPr>
        <w:t> </w:t>
      </w:r>
    </w:p>
    <w:p w14:paraId="60E13BD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一、广元市退役军人事务局行政执法主体</w:t>
      </w:r>
    </w:p>
    <w:p w14:paraId="2EAA43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二、广元市退役军人事务局行政执法人员清单</w:t>
      </w:r>
    </w:p>
    <w:p w14:paraId="59C52FD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三、广元市退役军人事务局行政执法事项目录</w:t>
      </w:r>
    </w:p>
    <w:p w14:paraId="641F597D">
      <w:pPr>
        <w:pStyle w:val="4"/>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四、广元市退役军人事务局行政权力责任清单</w:t>
      </w:r>
    </w:p>
    <w:p w14:paraId="6539F2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五、广元市退役军人事务局重大行政执法决定法制审核目录清单</w:t>
      </w:r>
    </w:p>
    <w:p w14:paraId="7A51D6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六、广元市退役军人事务局行政裁量权基准</w:t>
      </w:r>
    </w:p>
    <w:p w14:paraId="2FADCFA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七、广元市退役军人事务局分类检查事项目录和不予、免予、从轻、减轻、从重行政处罚清单</w:t>
      </w:r>
    </w:p>
    <w:p w14:paraId="16363FF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八、广元市退役军人事务局随机抽查事项清单、2024年抽查计划</w:t>
      </w:r>
    </w:p>
    <w:p w14:paraId="5AB768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九、广元市退役军人事务局2024年度“双随机一公开抽查”计划</w:t>
      </w:r>
    </w:p>
    <w:p w14:paraId="11864CD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十、广元市退役军人事务局行政执法文书样式</w:t>
      </w:r>
    </w:p>
    <w:p w14:paraId="2B6CB8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十一、广元市退役军人事务局（监督信息）救济渠道、行政执法责任制</w:t>
      </w:r>
    </w:p>
    <w:p w14:paraId="449F7B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十二、广元市退役军人事务局上年度双随机抽查结果、行政许可和处罚决定、本机关行政执法数据总体情况</w:t>
      </w:r>
    </w:p>
    <w:p w14:paraId="2EF2FF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十三、广元市退役军人事务局实行行政执法三项制度方案</w:t>
      </w:r>
    </w:p>
    <w:p w14:paraId="6AE566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广元市退役军人事务局</w:t>
      </w:r>
    </w:p>
    <w:p w14:paraId="12C650E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2024年度行政执法集中内容公示</w:t>
      </w:r>
    </w:p>
    <w:p w14:paraId="6906434C">
      <w:pPr>
        <w:bidi w:val="0"/>
        <w:rPr>
          <w:rFonts w:hint="default"/>
        </w:rPr>
      </w:pPr>
      <w:r>
        <w:rPr>
          <w:lang w:val="en-US" w:eastAsia="zh-CN"/>
        </w:rPr>
        <w:t> </w:t>
      </w:r>
    </w:p>
    <w:p w14:paraId="3CFB45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一、市退役军人事务局行政执法主体</w:t>
      </w:r>
    </w:p>
    <w:p w14:paraId="4EC8B4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行政执法主体1个：广元市退役军人事务局  </w:t>
      </w:r>
    </w:p>
    <w:p w14:paraId="523D6A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地址：广元市利州东路一段681号  邮编：628000</w:t>
      </w:r>
    </w:p>
    <w:p w14:paraId="7C657D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电话：0839—3222187             传真：0839—3222187</w:t>
      </w:r>
    </w:p>
    <w:p w14:paraId="1DAD98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行政执法机构3个：</w:t>
      </w:r>
    </w:p>
    <w:p w14:paraId="0E532958">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权益维护与法规科</w:t>
      </w:r>
    </w:p>
    <w:p w14:paraId="0EFB189D">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组织起草退役军人思想政治、管理保障和安置优抚等地方性法规、规章草案，拟订退役军人工作政策。承担规范性文件的合法性审查、备案和行政复议、行政应诉工作。指导并监督检查退役军人相关法律法规和政策措施的落实。承担退役军人权益维护和有关人员的帮扶援助工作。组织拟订部分企业军队转业干部解困和稳定政策并组织实施。承担退役军人信访工作，研究分析全市退役军人信访工作情况，负责有关信访事项的接待、处理和答复，督查督办重大信访案件。推动建立全市退役军人事务应急联动机制，协调处理有关突发事件。负责退役军人事务相关舆情工作。</w:t>
      </w:r>
    </w:p>
    <w:p w14:paraId="27CFCF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科室负责人：王守根 联系电话：0839-3220185</w:t>
      </w:r>
    </w:p>
    <w:p w14:paraId="396AC9C0">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（二）安置就业科</w:t>
      </w:r>
    </w:p>
    <w:p w14:paraId="3E2BDD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主要职责：拟订计划分配的军队转业干部、符合政府安排工作条件的退役士兵接收安置、教育培训政策和年度安置计划并组织实施，承担市属单位和中央、省在广单位军队转业干部、退役士兵的计划安置、计划外选调和培训工作。负责自主择业军队转业干部、复员干部、自主就业退役士兵的服务管理，承担接收移交安置、就业创业扶持和教育培训工作，拟订就业创业年度计划并组织实施。承担随军随调家属就业创业扶持工作。指导开展有关中介服务工作。</w:t>
      </w:r>
    </w:p>
    <w:p w14:paraId="57DE61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科室负责人：张红侠  联系电话：0839-3220780</w:t>
      </w:r>
    </w:p>
    <w:p w14:paraId="544C1C7F">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（三）优抚褒扬科</w:t>
      </w:r>
    </w:p>
    <w:p w14:paraId="3BFEDDAB">
      <w:pPr>
        <w:keepNext w:val="0"/>
        <w:keepLines w:val="0"/>
        <w:pageBreakBefore w:val="0"/>
        <w:widowControl w:val="0"/>
        <w:numPr>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职责：承担现役军人、退役军人、军队文职人员和军属优待、抚恤等工作。组织、协调落实退役军人住房保障、医疗保障等待遇保障工作，贯彻执行国家、省有关退役军人医疗、疗养、养老等优抚事业单位的规划政策。贯彻执行国民党抗战老兵等有关人员优待政策。成袋烈士褒扬、纪念设施管理保护工作，依法承担英雄烈士保护相关工作。拟定全市军人公墓和烈士纪念设施建设规划管理维护等政策并组织实施，承担烈士评定的审核上报工作，组织、指导英雄烈士纪念工作。</w:t>
      </w:r>
    </w:p>
    <w:p w14:paraId="65A9FF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科室负责人：张建华  联系电话：0839-3276580</w:t>
      </w:r>
    </w:p>
    <w:p w14:paraId="417451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二、广元市退役军人事务局行政执法人员清单</w:t>
      </w:r>
    </w:p>
    <w:tbl>
      <w:tblPr>
        <w:tblW w:w="0" w:type="auto"/>
        <w:tblInd w:w="1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Layout w:type="autofit"/>
        <w:tblCellMar>
          <w:top w:w="15" w:type="dxa"/>
          <w:left w:w="15" w:type="dxa"/>
          <w:bottom w:w="15" w:type="dxa"/>
          <w:right w:w="15" w:type="dxa"/>
        </w:tblCellMar>
      </w:tblPr>
      <w:tblGrid>
        <w:gridCol w:w="1090"/>
        <w:gridCol w:w="2850"/>
        <w:gridCol w:w="4750"/>
      </w:tblGrid>
      <w:tr w14:paraId="0E875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7591C7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序号</w:t>
            </w:r>
          </w:p>
        </w:tc>
        <w:tc>
          <w:tcPr>
            <w:tcW w:w="2850" w:type="dxa"/>
            <w:shd w:val="clear" w:color="auto" w:fill="auto"/>
            <w:tcMar>
              <w:top w:w="0" w:type="dxa"/>
              <w:left w:w="108" w:type="dxa"/>
              <w:bottom w:w="0" w:type="dxa"/>
              <w:right w:w="108" w:type="dxa"/>
            </w:tcMar>
            <w:vAlign w:val="top"/>
          </w:tcPr>
          <w:p w14:paraId="39F1447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姓名</w:t>
            </w:r>
          </w:p>
        </w:tc>
        <w:tc>
          <w:tcPr>
            <w:tcW w:w="4750" w:type="dxa"/>
            <w:shd w:val="clear" w:color="auto" w:fill="auto"/>
            <w:tcMar>
              <w:top w:w="0" w:type="dxa"/>
              <w:left w:w="108" w:type="dxa"/>
              <w:bottom w:w="0" w:type="dxa"/>
              <w:right w:w="108" w:type="dxa"/>
            </w:tcMar>
            <w:vAlign w:val="top"/>
          </w:tcPr>
          <w:p w14:paraId="77CC663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证件编号</w:t>
            </w:r>
          </w:p>
        </w:tc>
      </w:tr>
      <w:tr w14:paraId="67252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7772CA1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w:t>
            </w:r>
          </w:p>
        </w:tc>
        <w:tc>
          <w:tcPr>
            <w:tcW w:w="2850" w:type="dxa"/>
            <w:shd w:val="clear" w:color="auto" w:fill="auto"/>
            <w:tcMar>
              <w:top w:w="0" w:type="dxa"/>
              <w:left w:w="108" w:type="dxa"/>
              <w:bottom w:w="0" w:type="dxa"/>
              <w:right w:w="108" w:type="dxa"/>
            </w:tcMar>
            <w:vAlign w:val="top"/>
          </w:tcPr>
          <w:p w14:paraId="666589B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张红侠</w:t>
            </w:r>
          </w:p>
        </w:tc>
        <w:tc>
          <w:tcPr>
            <w:tcW w:w="4750" w:type="dxa"/>
            <w:shd w:val="clear" w:color="auto" w:fill="auto"/>
            <w:tcMar>
              <w:top w:w="0" w:type="dxa"/>
              <w:left w:w="108" w:type="dxa"/>
              <w:bottom w:w="0" w:type="dxa"/>
              <w:right w:w="108" w:type="dxa"/>
            </w:tcMar>
            <w:vAlign w:val="top"/>
          </w:tcPr>
          <w:p w14:paraId="6A64721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23070023024</w:t>
            </w:r>
          </w:p>
        </w:tc>
      </w:tr>
      <w:tr w14:paraId="648C7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1A878E8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w:t>
            </w:r>
          </w:p>
        </w:tc>
        <w:tc>
          <w:tcPr>
            <w:tcW w:w="2850" w:type="dxa"/>
            <w:shd w:val="clear" w:color="auto" w:fill="auto"/>
            <w:tcMar>
              <w:top w:w="0" w:type="dxa"/>
              <w:left w:w="108" w:type="dxa"/>
              <w:bottom w:w="0" w:type="dxa"/>
              <w:right w:w="108" w:type="dxa"/>
            </w:tcMar>
            <w:vAlign w:val="top"/>
          </w:tcPr>
          <w:p w14:paraId="6C9EBEE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冯燕蓉</w:t>
            </w:r>
          </w:p>
        </w:tc>
        <w:tc>
          <w:tcPr>
            <w:tcW w:w="4750" w:type="dxa"/>
            <w:shd w:val="clear" w:color="auto" w:fill="auto"/>
            <w:tcMar>
              <w:top w:w="0" w:type="dxa"/>
              <w:left w:w="108" w:type="dxa"/>
              <w:bottom w:w="0" w:type="dxa"/>
              <w:right w:w="108" w:type="dxa"/>
            </w:tcMar>
            <w:vAlign w:val="top"/>
          </w:tcPr>
          <w:p w14:paraId="1031FF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23070023027</w:t>
            </w:r>
          </w:p>
        </w:tc>
      </w:tr>
      <w:tr w14:paraId="6C97D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6B440F3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3</w:t>
            </w:r>
          </w:p>
        </w:tc>
        <w:tc>
          <w:tcPr>
            <w:tcW w:w="2850" w:type="dxa"/>
            <w:shd w:val="clear" w:color="auto" w:fill="auto"/>
            <w:tcMar>
              <w:top w:w="0" w:type="dxa"/>
              <w:left w:w="108" w:type="dxa"/>
              <w:bottom w:w="0" w:type="dxa"/>
              <w:right w:w="108" w:type="dxa"/>
            </w:tcMar>
            <w:vAlign w:val="top"/>
          </w:tcPr>
          <w:p w14:paraId="2CCB01E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陈胜稳</w:t>
            </w:r>
          </w:p>
        </w:tc>
        <w:tc>
          <w:tcPr>
            <w:tcW w:w="4750" w:type="dxa"/>
            <w:shd w:val="clear" w:color="auto" w:fill="auto"/>
            <w:tcMar>
              <w:top w:w="0" w:type="dxa"/>
              <w:left w:w="108" w:type="dxa"/>
              <w:bottom w:w="0" w:type="dxa"/>
              <w:right w:w="108" w:type="dxa"/>
            </w:tcMar>
            <w:vAlign w:val="top"/>
          </w:tcPr>
          <w:p w14:paraId="73EB163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23070023025</w:t>
            </w:r>
          </w:p>
        </w:tc>
      </w:tr>
      <w:tr w14:paraId="0E4E7D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111CB3F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4</w:t>
            </w:r>
          </w:p>
        </w:tc>
        <w:tc>
          <w:tcPr>
            <w:tcW w:w="2850" w:type="dxa"/>
            <w:shd w:val="clear" w:color="auto" w:fill="auto"/>
            <w:tcMar>
              <w:top w:w="0" w:type="dxa"/>
              <w:left w:w="108" w:type="dxa"/>
              <w:bottom w:w="0" w:type="dxa"/>
              <w:right w:w="108" w:type="dxa"/>
            </w:tcMar>
            <w:vAlign w:val="top"/>
          </w:tcPr>
          <w:p w14:paraId="6B1FB5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陈贤民</w:t>
            </w:r>
          </w:p>
        </w:tc>
        <w:tc>
          <w:tcPr>
            <w:tcW w:w="4750" w:type="dxa"/>
            <w:shd w:val="clear" w:color="auto" w:fill="auto"/>
            <w:tcMar>
              <w:top w:w="0" w:type="dxa"/>
              <w:left w:w="108" w:type="dxa"/>
              <w:bottom w:w="0" w:type="dxa"/>
              <w:right w:w="108" w:type="dxa"/>
            </w:tcMar>
            <w:vAlign w:val="top"/>
          </w:tcPr>
          <w:p w14:paraId="7FE94D8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23070023023</w:t>
            </w:r>
          </w:p>
        </w:tc>
      </w:tr>
      <w:tr w14:paraId="4BFD2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40754A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5</w:t>
            </w:r>
          </w:p>
        </w:tc>
        <w:tc>
          <w:tcPr>
            <w:tcW w:w="2850" w:type="dxa"/>
            <w:shd w:val="clear" w:color="auto" w:fill="auto"/>
            <w:tcMar>
              <w:top w:w="0" w:type="dxa"/>
              <w:left w:w="108" w:type="dxa"/>
              <w:bottom w:w="0" w:type="dxa"/>
              <w:right w:w="108" w:type="dxa"/>
            </w:tcMar>
            <w:vAlign w:val="top"/>
          </w:tcPr>
          <w:p w14:paraId="7461D02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吴俊熔</w:t>
            </w:r>
          </w:p>
        </w:tc>
        <w:tc>
          <w:tcPr>
            <w:tcW w:w="4750" w:type="dxa"/>
            <w:shd w:val="clear" w:color="auto" w:fill="auto"/>
            <w:tcMar>
              <w:top w:w="0" w:type="dxa"/>
              <w:left w:w="108" w:type="dxa"/>
              <w:bottom w:w="0" w:type="dxa"/>
              <w:right w:w="108" w:type="dxa"/>
            </w:tcMar>
            <w:vAlign w:val="top"/>
          </w:tcPr>
          <w:p w14:paraId="0730C54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23070023028</w:t>
            </w:r>
          </w:p>
        </w:tc>
      </w:tr>
      <w:tr w14:paraId="29134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1FFFFB8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6</w:t>
            </w:r>
          </w:p>
        </w:tc>
        <w:tc>
          <w:tcPr>
            <w:tcW w:w="2850" w:type="dxa"/>
            <w:shd w:val="clear" w:color="auto" w:fill="auto"/>
            <w:tcMar>
              <w:top w:w="0" w:type="dxa"/>
              <w:left w:w="108" w:type="dxa"/>
              <w:bottom w:w="0" w:type="dxa"/>
              <w:right w:w="108" w:type="dxa"/>
            </w:tcMar>
            <w:vAlign w:val="top"/>
          </w:tcPr>
          <w:p w14:paraId="74193D6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王清岚</w:t>
            </w:r>
          </w:p>
        </w:tc>
        <w:tc>
          <w:tcPr>
            <w:tcW w:w="4750" w:type="dxa"/>
            <w:shd w:val="clear" w:color="auto" w:fill="auto"/>
            <w:tcMar>
              <w:top w:w="0" w:type="dxa"/>
              <w:left w:w="108" w:type="dxa"/>
              <w:bottom w:w="0" w:type="dxa"/>
              <w:right w:w="108" w:type="dxa"/>
            </w:tcMar>
            <w:vAlign w:val="top"/>
          </w:tcPr>
          <w:p w14:paraId="50343FC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23070023026</w:t>
            </w:r>
          </w:p>
        </w:tc>
      </w:tr>
      <w:tr w14:paraId="4D7D2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7149E33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7</w:t>
            </w:r>
          </w:p>
        </w:tc>
        <w:tc>
          <w:tcPr>
            <w:tcW w:w="2850" w:type="dxa"/>
            <w:shd w:val="clear" w:color="auto" w:fill="auto"/>
            <w:tcMar>
              <w:top w:w="0" w:type="dxa"/>
              <w:left w:w="108" w:type="dxa"/>
              <w:bottom w:w="0" w:type="dxa"/>
              <w:right w:w="108" w:type="dxa"/>
            </w:tcMar>
            <w:vAlign w:val="top"/>
          </w:tcPr>
          <w:p w14:paraId="6AF6199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熊  伟</w:t>
            </w:r>
          </w:p>
        </w:tc>
        <w:tc>
          <w:tcPr>
            <w:tcW w:w="4750" w:type="dxa"/>
            <w:shd w:val="clear" w:color="auto" w:fill="auto"/>
            <w:tcMar>
              <w:top w:w="0" w:type="dxa"/>
              <w:left w:w="108" w:type="dxa"/>
              <w:bottom w:w="0" w:type="dxa"/>
              <w:right w:w="108" w:type="dxa"/>
            </w:tcMar>
            <w:vAlign w:val="top"/>
          </w:tcPr>
          <w:p w14:paraId="4073D95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23070023022</w:t>
            </w:r>
          </w:p>
        </w:tc>
      </w:tr>
      <w:tr w14:paraId="2B69A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19D549E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8</w:t>
            </w:r>
          </w:p>
        </w:tc>
        <w:tc>
          <w:tcPr>
            <w:tcW w:w="2850" w:type="dxa"/>
            <w:shd w:val="clear" w:color="auto" w:fill="auto"/>
            <w:tcMar>
              <w:top w:w="0" w:type="dxa"/>
              <w:left w:w="108" w:type="dxa"/>
              <w:bottom w:w="0" w:type="dxa"/>
              <w:right w:w="108" w:type="dxa"/>
            </w:tcMar>
            <w:vAlign w:val="top"/>
          </w:tcPr>
          <w:p w14:paraId="35989C2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史进军</w:t>
            </w:r>
          </w:p>
        </w:tc>
        <w:tc>
          <w:tcPr>
            <w:tcW w:w="4750" w:type="dxa"/>
            <w:shd w:val="clear" w:color="auto" w:fill="auto"/>
            <w:tcMar>
              <w:top w:w="0" w:type="dxa"/>
              <w:left w:w="108" w:type="dxa"/>
              <w:bottom w:w="0" w:type="dxa"/>
              <w:right w:w="108" w:type="dxa"/>
            </w:tcMar>
            <w:vAlign w:val="top"/>
          </w:tcPr>
          <w:p w14:paraId="736ED58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23070023029</w:t>
            </w:r>
          </w:p>
        </w:tc>
      </w:tr>
      <w:tr w14:paraId="29E95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48FEA22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9</w:t>
            </w:r>
          </w:p>
        </w:tc>
        <w:tc>
          <w:tcPr>
            <w:tcW w:w="2850" w:type="dxa"/>
            <w:shd w:val="clear" w:color="auto" w:fill="auto"/>
            <w:tcMar>
              <w:top w:w="0" w:type="dxa"/>
              <w:left w:w="108" w:type="dxa"/>
              <w:bottom w:w="0" w:type="dxa"/>
              <w:right w:w="108" w:type="dxa"/>
            </w:tcMar>
            <w:vAlign w:val="top"/>
          </w:tcPr>
          <w:p w14:paraId="5C35DBF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廖润知</w:t>
            </w:r>
          </w:p>
        </w:tc>
        <w:tc>
          <w:tcPr>
            <w:tcW w:w="4750" w:type="dxa"/>
            <w:shd w:val="clear" w:color="auto" w:fill="auto"/>
            <w:tcMar>
              <w:top w:w="0" w:type="dxa"/>
              <w:left w:w="108" w:type="dxa"/>
              <w:bottom w:w="0" w:type="dxa"/>
              <w:right w:w="108" w:type="dxa"/>
            </w:tcMar>
            <w:vAlign w:val="top"/>
          </w:tcPr>
          <w:p w14:paraId="7D4D9A6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23070023030</w:t>
            </w:r>
          </w:p>
        </w:tc>
      </w:tr>
      <w:tr w14:paraId="74B42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c>
          <w:tcPr>
            <w:tcW w:w="1090" w:type="dxa"/>
            <w:shd w:val="clear" w:color="auto" w:fill="auto"/>
            <w:tcMar>
              <w:top w:w="0" w:type="dxa"/>
              <w:left w:w="108" w:type="dxa"/>
              <w:bottom w:w="0" w:type="dxa"/>
              <w:right w:w="108" w:type="dxa"/>
            </w:tcMar>
            <w:vAlign w:val="top"/>
          </w:tcPr>
          <w:p w14:paraId="3E1325C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2850" w:type="dxa"/>
            <w:shd w:val="clear" w:color="auto" w:fill="auto"/>
            <w:tcMar>
              <w:top w:w="0" w:type="dxa"/>
              <w:left w:w="108" w:type="dxa"/>
              <w:bottom w:w="0" w:type="dxa"/>
              <w:right w:w="108" w:type="dxa"/>
            </w:tcMar>
            <w:vAlign w:val="top"/>
          </w:tcPr>
          <w:p w14:paraId="4ECE1F2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梁家伟</w:t>
            </w:r>
          </w:p>
        </w:tc>
        <w:tc>
          <w:tcPr>
            <w:tcW w:w="4750" w:type="dxa"/>
            <w:shd w:val="clear" w:color="auto" w:fill="auto"/>
            <w:tcMar>
              <w:top w:w="0" w:type="dxa"/>
              <w:left w:w="108" w:type="dxa"/>
              <w:bottom w:w="0" w:type="dxa"/>
              <w:right w:w="108" w:type="dxa"/>
            </w:tcMar>
            <w:vAlign w:val="top"/>
          </w:tcPr>
          <w:p w14:paraId="312061D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23070023021</w:t>
            </w:r>
          </w:p>
        </w:tc>
      </w:tr>
    </w:tbl>
    <w:p w14:paraId="47FC4E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三、广元市退役军人事务局行政执法事项目录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370"/>
        <w:gridCol w:w="1480"/>
        <w:gridCol w:w="2980"/>
        <w:gridCol w:w="912"/>
      </w:tblGrid>
      <w:tr w14:paraId="0F87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628BF9E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序号</w:t>
            </w:r>
          </w:p>
        </w:tc>
        <w:tc>
          <w:tcPr>
            <w:tcW w:w="2370" w:type="dxa"/>
            <w:vAlign w:val="center"/>
          </w:tcPr>
          <w:p w14:paraId="53D1810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单位</w:t>
            </w:r>
          </w:p>
        </w:tc>
        <w:tc>
          <w:tcPr>
            <w:tcW w:w="1480" w:type="dxa"/>
            <w:vAlign w:val="center"/>
          </w:tcPr>
          <w:p w14:paraId="292165C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行政执法类型</w:t>
            </w:r>
          </w:p>
        </w:tc>
        <w:tc>
          <w:tcPr>
            <w:tcW w:w="2980" w:type="dxa"/>
            <w:vAlign w:val="center"/>
          </w:tcPr>
          <w:p w14:paraId="4DAEAC6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行政执法事项</w:t>
            </w:r>
          </w:p>
        </w:tc>
        <w:tc>
          <w:tcPr>
            <w:tcW w:w="912" w:type="dxa"/>
            <w:vAlign w:val="center"/>
          </w:tcPr>
          <w:p w14:paraId="01B92D6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黑体" w:hAnsi="黑体" w:eastAsia="黑体" w:cs="黑体"/>
                <w:sz w:val="21"/>
                <w:szCs w:val="21"/>
                <w:vertAlign w:val="baseline"/>
                <w:lang w:val="en-US" w:eastAsia="zh-CN"/>
              </w:rPr>
            </w:pPr>
            <w:r>
              <w:rPr>
                <w:rFonts w:hint="eastAsia" w:ascii="黑体" w:hAnsi="黑体" w:eastAsia="黑体" w:cs="黑体"/>
                <w:sz w:val="21"/>
                <w:szCs w:val="21"/>
                <w:vertAlign w:val="baseline"/>
                <w:lang w:val="en-US" w:eastAsia="zh-CN"/>
              </w:rPr>
              <w:t>备注</w:t>
            </w:r>
          </w:p>
        </w:tc>
      </w:tr>
      <w:tr w14:paraId="1803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0928AD9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w:t>
            </w:r>
          </w:p>
        </w:tc>
        <w:tc>
          <w:tcPr>
            <w:tcW w:w="2370" w:type="dxa"/>
            <w:vAlign w:val="center"/>
          </w:tcPr>
          <w:p w14:paraId="28C894E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47041CB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行政处罚</w:t>
            </w:r>
          </w:p>
        </w:tc>
        <w:tc>
          <w:tcPr>
            <w:tcW w:w="2980" w:type="dxa"/>
            <w:vAlign w:val="center"/>
          </w:tcPr>
          <w:p w14:paraId="4E903BB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对企业未按规定接收安置退役士兵的行政处罚</w:t>
            </w:r>
          </w:p>
        </w:tc>
        <w:tc>
          <w:tcPr>
            <w:tcW w:w="912" w:type="dxa"/>
            <w:vAlign w:val="center"/>
          </w:tcPr>
          <w:p w14:paraId="38E113C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p>
        </w:tc>
      </w:tr>
      <w:tr w14:paraId="131D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1EBBF7D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w:t>
            </w:r>
          </w:p>
        </w:tc>
        <w:tc>
          <w:tcPr>
            <w:tcW w:w="2370" w:type="dxa"/>
            <w:vAlign w:val="center"/>
          </w:tcPr>
          <w:p w14:paraId="60B31DF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3BB9B15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行政处罚</w:t>
            </w:r>
          </w:p>
        </w:tc>
        <w:tc>
          <w:tcPr>
            <w:tcW w:w="2980" w:type="dxa"/>
            <w:vAlign w:val="center"/>
          </w:tcPr>
          <w:p w14:paraId="75AA7DD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对弄虚作假骗取安置待遇的退役军人的行政处罚</w:t>
            </w:r>
          </w:p>
        </w:tc>
        <w:tc>
          <w:tcPr>
            <w:tcW w:w="912" w:type="dxa"/>
            <w:vAlign w:val="center"/>
          </w:tcPr>
          <w:p w14:paraId="5428466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p>
        </w:tc>
      </w:tr>
      <w:tr w14:paraId="77C41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050309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3</w:t>
            </w:r>
          </w:p>
        </w:tc>
        <w:tc>
          <w:tcPr>
            <w:tcW w:w="2370" w:type="dxa"/>
            <w:vAlign w:val="center"/>
          </w:tcPr>
          <w:p w14:paraId="564D12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54928D1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行政确认</w:t>
            </w:r>
          </w:p>
        </w:tc>
        <w:tc>
          <w:tcPr>
            <w:tcW w:w="2980" w:type="dxa"/>
            <w:vAlign w:val="center"/>
          </w:tcPr>
          <w:p w14:paraId="78909F6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残疾性质认定和残疾等级评定</w:t>
            </w:r>
          </w:p>
        </w:tc>
        <w:tc>
          <w:tcPr>
            <w:tcW w:w="912" w:type="dxa"/>
            <w:vAlign w:val="center"/>
          </w:tcPr>
          <w:p w14:paraId="5A8FBEB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涉密</w:t>
            </w:r>
          </w:p>
        </w:tc>
      </w:tr>
      <w:tr w14:paraId="23D9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13D8914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4</w:t>
            </w:r>
          </w:p>
        </w:tc>
        <w:tc>
          <w:tcPr>
            <w:tcW w:w="2370" w:type="dxa"/>
            <w:vAlign w:val="center"/>
          </w:tcPr>
          <w:p w14:paraId="3764AFF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43A01E1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行政确认</w:t>
            </w:r>
          </w:p>
        </w:tc>
        <w:tc>
          <w:tcPr>
            <w:tcW w:w="2980" w:type="dxa"/>
            <w:vAlign w:val="center"/>
          </w:tcPr>
          <w:p w14:paraId="5EFFD42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烈士评定</w:t>
            </w:r>
          </w:p>
        </w:tc>
        <w:tc>
          <w:tcPr>
            <w:tcW w:w="912" w:type="dxa"/>
            <w:vAlign w:val="center"/>
          </w:tcPr>
          <w:p w14:paraId="3D2DA63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p>
        </w:tc>
      </w:tr>
      <w:tr w14:paraId="220E9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25F532C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5</w:t>
            </w:r>
          </w:p>
        </w:tc>
        <w:tc>
          <w:tcPr>
            <w:tcW w:w="2370" w:type="dxa"/>
            <w:vAlign w:val="center"/>
          </w:tcPr>
          <w:p w14:paraId="666C7F2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3DCEBBB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行政给付</w:t>
            </w:r>
          </w:p>
        </w:tc>
        <w:tc>
          <w:tcPr>
            <w:tcW w:w="2980" w:type="dxa"/>
            <w:vAlign w:val="center"/>
          </w:tcPr>
          <w:p w14:paraId="7A607D0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退役士兵待安排工作期间生活费的给付</w:t>
            </w:r>
          </w:p>
        </w:tc>
        <w:tc>
          <w:tcPr>
            <w:tcW w:w="912" w:type="dxa"/>
            <w:vAlign w:val="center"/>
          </w:tcPr>
          <w:p w14:paraId="6E62C25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p>
        </w:tc>
      </w:tr>
      <w:tr w14:paraId="66D0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516BAD9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6</w:t>
            </w:r>
          </w:p>
        </w:tc>
        <w:tc>
          <w:tcPr>
            <w:tcW w:w="2370" w:type="dxa"/>
            <w:vAlign w:val="center"/>
          </w:tcPr>
          <w:p w14:paraId="18171EE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60927F8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行政奖励</w:t>
            </w:r>
          </w:p>
        </w:tc>
        <w:tc>
          <w:tcPr>
            <w:tcW w:w="2980" w:type="dxa"/>
            <w:vAlign w:val="center"/>
          </w:tcPr>
          <w:p w14:paraId="7BA2343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对在退役军人工作中作出突出贡献的单位和个人给予表彰、奖励</w:t>
            </w:r>
          </w:p>
        </w:tc>
        <w:tc>
          <w:tcPr>
            <w:tcW w:w="912" w:type="dxa"/>
            <w:vAlign w:val="center"/>
          </w:tcPr>
          <w:p w14:paraId="3EEAA3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实施主体为各级人民政府</w:t>
            </w:r>
          </w:p>
        </w:tc>
      </w:tr>
      <w:tr w14:paraId="4C355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40C9E3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7</w:t>
            </w:r>
          </w:p>
        </w:tc>
        <w:tc>
          <w:tcPr>
            <w:tcW w:w="2370" w:type="dxa"/>
            <w:vAlign w:val="center"/>
          </w:tcPr>
          <w:p w14:paraId="4E0AE5F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418F2B6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行政奖励</w:t>
            </w:r>
          </w:p>
        </w:tc>
        <w:tc>
          <w:tcPr>
            <w:tcW w:w="2980" w:type="dxa"/>
            <w:vAlign w:val="center"/>
          </w:tcPr>
          <w:p w14:paraId="5D89509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对在社会主义现代化建设中做出突出贡献的退役军人予以表彰奖励</w:t>
            </w:r>
          </w:p>
        </w:tc>
        <w:tc>
          <w:tcPr>
            <w:tcW w:w="912" w:type="dxa"/>
            <w:vAlign w:val="center"/>
          </w:tcPr>
          <w:p w14:paraId="4FA83C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实施主体为各级人民政府</w:t>
            </w:r>
          </w:p>
        </w:tc>
      </w:tr>
      <w:tr w14:paraId="65C1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9" w:type="dxa"/>
            <w:vAlign w:val="center"/>
          </w:tcPr>
          <w:p w14:paraId="32C28A5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8</w:t>
            </w:r>
          </w:p>
        </w:tc>
        <w:tc>
          <w:tcPr>
            <w:tcW w:w="2370" w:type="dxa"/>
            <w:vAlign w:val="center"/>
          </w:tcPr>
          <w:p w14:paraId="1892592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00B0275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行政检查</w:t>
            </w:r>
          </w:p>
        </w:tc>
        <w:tc>
          <w:tcPr>
            <w:tcW w:w="2980" w:type="dxa"/>
            <w:vAlign w:val="center"/>
          </w:tcPr>
          <w:p w14:paraId="393E6B1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监督检查退役军人保障相关法律法规和政策措施落实情况</w:t>
            </w:r>
          </w:p>
        </w:tc>
        <w:tc>
          <w:tcPr>
            <w:tcW w:w="912" w:type="dxa"/>
            <w:vAlign w:val="center"/>
          </w:tcPr>
          <w:p w14:paraId="7525F24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2E65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0BFB533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9</w:t>
            </w:r>
          </w:p>
        </w:tc>
        <w:tc>
          <w:tcPr>
            <w:tcW w:w="2370" w:type="dxa"/>
            <w:vAlign w:val="center"/>
          </w:tcPr>
          <w:p w14:paraId="3FC8876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20CE999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0BBD31D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由政府安排工作退役士兵和退出消防员、军队转业干部移交安置</w:t>
            </w:r>
          </w:p>
        </w:tc>
        <w:tc>
          <w:tcPr>
            <w:tcW w:w="912" w:type="dxa"/>
            <w:vAlign w:val="center"/>
          </w:tcPr>
          <w:p w14:paraId="1B6AF9F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190A1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7F6846D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10</w:t>
            </w:r>
          </w:p>
        </w:tc>
        <w:tc>
          <w:tcPr>
            <w:tcW w:w="2370" w:type="dxa"/>
            <w:vAlign w:val="center"/>
          </w:tcPr>
          <w:p w14:paraId="39D80BC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43B65E9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7A01F27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退役士兵易地安置</w:t>
            </w:r>
          </w:p>
        </w:tc>
        <w:tc>
          <w:tcPr>
            <w:tcW w:w="912" w:type="dxa"/>
            <w:vAlign w:val="center"/>
          </w:tcPr>
          <w:p w14:paraId="7695683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033F6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471C884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11</w:t>
            </w:r>
          </w:p>
        </w:tc>
        <w:tc>
          <w:tcPr>
            <w:tcW w:w="2370" w:type="dxa"/>
            <w:vAlign w:val="center"/>
          </w:tcPr>
          <w:p w14:paraId="3EECCEF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574B775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23667FC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复员干部移交安置</w:t>
            </w:r>
          </w:p>
        </w:tc>
        <w:tc>
          <w:tcPr>
            <w:tcW w:w="912" w:type="dxa"/>
            <w:vAlign w:val="center"/>
          </w:tcPr>
          <w:p w14:paraId="5E213DD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17C87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5FC0A3D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12</w:t>
            </w:r>
          </w:p>
        </w:tc>
        <w:tc>
          <w:tcPr>
            <w:tcW w:w="2370" w:type="dxa"/>
            <w:vAlign w:val="center"/>
          </w:tcPr>
          <w:p w14:paraId="2A1A7BD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5FD3E20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6EB4019B">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依法处理在英雄烈士纪念设施保护范围内从事有损纪念英雄烈士环境和氛围活动的行为</w:t>
            </w:r>
          </w:p>
        </w:tc>
        <w:tc>
          <w:tcPr>
            <w:tcW w:w="912" w:type="dxa"/>
            <w:vAlign w:val="center"/>
          </w:tcPr>
          <w:p w14:paraId="6C22D56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2AE95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1ED80E3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13</w:t>
            </w:r>
          </w:p>
        </w:tc>
        <w:tc>
          <w:tcPr>
            <w:tcW w:w="2370" w:type="dxa"/>
            <w:vAlign w:val="center"/>
          </w:tcPr>
          <w:p w14:paraId="47FAF5A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6429D5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64EC497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依法处理违反英雄烈士纪念设施保护规定的行为</w:t>
            </w:r>
          </w:p>
        </w:tc>
        <w:tc>
          <w:tcPr>
            <w:tcW w:w="912" w:type="dxa"/>
            <w:vAlign w:val="center"/>
          </w:tcPr>
          <w:p w14:paraId="76A211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52A6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61A32BF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14</w:t>
            </w:r>
          </w:p>
        </w:tc>
        <w:tc>
          <w:tcPr>
            <w:tcW w:w="2370" w:type="dxa"/>
            <w:vAlign w:val="center"/>
          </w:tcPr>
          <w:p w14:paraId="21E2E79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0CB412F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647214CA">
            <w:pPr>
              <w:keepNext w:val="0"/>
              <w:keepLines w:val="0"/>
              <w:pageBreakBefore w:val="0"/>
              <w:widowControl w:val="0"/>
              <w:kinsoku/>
              <w:wordWrap/>
              <w:overflowPunct/>
              <w:topLinePunct w:val="0"/>
              <w:autoSpaceDE/>
              <w:autoSpaceDN/>
              <w:bidi w:val="0"/>
              <w:adjustRightInd/>
              <w:snapToGrid/>
              <w:spacing w:line="290" w:lineRule="exact"/>
              <w:jc w:val="both"/>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依法处理侵占、破坏光荣院财物的行为</w:t>
            </w:r>
          </w:p>
        </w:tc>
        <w:tc>
          <w:tcPr>
            <w:tcW w:w="912" w:type="dxa"/>
            <w:vAlign w:val="center"/>
          </w:tcPr>
          <w:p w14:paraId="219C642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5CB8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0D9CCD2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15</w:t>
            </w:r>
          </w:p>
        </w:tc>
        <w:tc>
          <w:tcPr>
            <w:tcW w:w="2370" w:type="dxa"/>
            <w:vAlign w:val="center"/>
          </w:tcPr>
          <w:p w14:paraId="4EBDC9D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3AD433E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506BD0E3">
            <w:pPr>
              <w:keepNext w:val="0"/>
              <w:keepLines w:val="0"/>
              <w:pageBreakBefore w:val="0"/>
              <w:widowControl w:val="0"/>
              <w:kinsoku/>
              <w:wordWrap/>
              <w:overflowPunct/>
              <w:topLinePunct w:val="0"/>
              <w:autoSpaceDE/>
              <w:autoSpaceDN/>
              <w:bidi w:val="0"/>
              <w:adjustRightInd/>
              <w:snapToGrid/>
              <w:spacing w:line="290" w:lineRule="exact"/>
              <w:jc w:val="both"/>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依法处理侵占、破坏优抚医院财物的行为</w:t>
            </w:r>
          </w:p>
        </w:tc>
        <w:tc>
          <w:tcPr>
            <w:tcW w:w="912" w:type="dxa"/>
            <w:vAlign w:val="center"/>
          </w:tcPr>
          <w:p w14:paraId="37AC474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r w14:paraId="0B7F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9" w:type="dxa"/>
            <w:vAlign w:val="center"/>
          </w:tcPr>
          <w:p w14:paraId="43214DA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16</w:t>
            </w:r>
          </w:p>
        </w:tc>
        <w:tc>
          <w:tcPr>
            <w:tcW w:w="2370" w:type="dxa"/>
            <w:vAlign w:val="center"/>
          </w:tcPr>
          <w:p w14:paraId="753343C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广元市退役军人事务局</w:t>
            </w:r>
          </w:p>
        </w:tc>
        <w:tc>
          <w:tcPr>
            <w:tcW w:w="1480" w:type="dxa"/>
            <w:vAlign w:val="center"/>
          </w:tcPr>
          <w:p w14:paraId="667F350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r>
              <w:rPr>
                <w:rFonts w:hint="eastAsia" w:ascii="仿宋_GB2312" w:hAnsi="仿宋_GB2312" w:eastAsia="仿宋_GB2312" w:cs="仿宋_GB2312"/>
                <w:sz w:val="21"/>
                <w:szCs w:val="21"/>
                <w:vertAlign w:val="baseline"/>
                <w:lang w:val="en-US" w:eastAsia="zh-CN"/>
              </w:rPr>
              <w:t>其他行政权力</w:t>
            </w:r>
          </w:p>
        </w:tc>
        <w:tc>
          <w:tcPr>
            <w:tcW w:w="2980" w:type="dxa"/>
            <w:vAlign w:val="center"/>
          </w:tcPr>
          <w:p w14:paraId="16F5933E">
            <w:pPr>
              <w:keepNext w:val="0"/>
              <w:keepLines w:val="0"/>
              <w:pageBreakBefore w:val="0"/>
              <w:widowControl w:val="0"/>
              <w:kinsoku/>
              <w:wordWrap/>
              <w:overflowPunct/>
              <w:topLinePunct w:val="0"/>
              <w:autoSpaceDE/>
              <w:autoSpaceDN/>
              <w:bidi w:val="0"/>
              <w:adjustRightInd/>
              <w:snapToGrid/>
              <w:spacing w:line="290" w:lineRule="exact"/>
              <w:jc w:val="both"/>
              <w:textAlignment w:val="auto"/>
              <w:rPr>
                <w:rFonts w:hint="eastAsia" w:ascii="仿宋_GB2312" w:hAnsi="仿宋_GB2312" w:eastAsia="仿宋_GB2312" w:cs="仿宋_GB2312"/>
                <w:kern w:val="2"/>
                <w:sz w:val="21"/>
                <w:szCs w:val="21"/>
                <w:vertAlign w:val="baseline"/>
                <w:lang w:val="en-US" w:eastAsia="zh-CN" w:bidi="ar-SA"/>
              </w:rPr>
            </w:pPr>
            <w:r>
              <w:rPr>
                <w:rFonts w:hint="default" w:ascii="仿宋_GB2312" w:hAnsi="仿宋_GB2312" w:eastAsia="仿宋_GB2312" w:cs="仿宋_GB2312"/>
                <w:sz w:val="21"/>
                <w:szCs w:val="21"/>
                <w:vertAlign w:val="baseline"/>
                <w:lang w:val="en-US" w:eastAsia="zh-CN"/>
              </w:rPr>
              <w:t>依法处理</w:t>
            </w:r>
            <w:r>
              <w:rPr>
                <w:rFonts w:hint="eastAsia" w:ascii="仿宋_GB2312" w:hAnsi="仿宋_GB2312" w:eastAsia="仿宋_GB2312" w:cs="仿宋_GB2312"/>
                <w:sz w:val="21"/>
                <w:szCs w:val="21"/>
                <w:vertAlign w:val="baseline"/>
                <w:lang w:val="en-US" w:eastAsia="zh-CN"/>
              </w:rPr>
              <w:t>冒领、骗取烈士褒扬金、抚恤金的</w:t>
            </w:r>
            <w:r>
              <w:rPr>
                <w:rFonts w:hint="default" w:ascii="仿宋_GB2312" w:hAnsi="仿宋_GB2312" w:eastAsia="仿宋_GB2312" w:cs="仿宋_GB2312"/>
                <w:sz w:val="21"/>
                <w:szCs w:val="21"/>
                <w:vertAlign w:val="baseline"/>
                <w:lang w:val="en-US" w:eastAsia="zh-CN"/>
              </w:rPr>
              <w:t>行为</w:t>
            </w:r>
          </w:p>
        </w:tc>
        <w:tc>
          <w:tcPr>
            <w:tcW w:w="912" w:type="dxa"/>
            <w:vAlign w:val="center"/>
          </w:tcPr>
          <w:p w14:paraId="01B8066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kern w:val="2"/>
                <w:sz w:val="21"/>
                <w:szCs w:val="21"/>
                <w:vertAlign w:val="baseline"/>
                <w:lang w:val="en-US" w:eastAsia="zh-CN" w:bidi="ar-SA"/>
              </w:rPr>
            </w:pPr>
          </w:p>
        </w:tc>
      </w:tr>
    </w:tbl>
    <w:p w14:paraId="6946F06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四、广元市退役军人事务局行政权力责任清单</w:t>
      </w:r>
    </w:p>
    <w:tbl>
      <w:tblPr>
        <w:tblStyle w:val="6"/>
        <w:tblW w:w="0" w:type="auto"/>
        <w:jc w:val="center"/>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Layout w:type="autofit"/>
        <w:tblCellMar>
          <w:top w:w="0" w:type="dxa"/>
          <w:left w:w="0" w:type="dxa"/>
          <w:bottom w:w="0" w:type="dxa"/>
          <w:right w:w="0" w:type="dxa"/>
        </w:tblCellMar>
      </w:tblPr>
      <w:tblGrid>
        <w:gridCol w:w="1470"/>
        <w:gridCol w:w="6600"/>
      </w:tblGrid>
      <w:tr w14:paraId="66C4874A">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01"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11690DFA">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5FE5EC9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1</w:t>
            </w:r>
          </w:p>
        </w:tc>
      </w:tr>
      <w:tr w14:paraId="75B7923E">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6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089959E6">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3A80324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行政处罚</w:t>
            </w:r>
          </w:p>
        </w:tc>
      </w:tr>
      <w:tr w14:paraId="343E07FF">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45"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6090BEC">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A1E699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对企业未按规定接收安置退役士兵的处罚</w:t>
            </w:r>
          </w:p>
        </w:tc>
      </w:tr>
      <w:tr w14:paraId="42114224">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1224419A">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3D5DE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color w:val="000000"/>
                <w:sz w:val="19"/>
                <w:szCs w:val="19"/>
              </w:rPr>
              <w:t>《退役士兵安置条例》第五十条：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w:t>
            </w:r>
          </w:p>
          <w:p w14:paraId="47BF4B7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（一）拒绝或者无故拖延执行人民政府下达的安排退役士兵工作任务的；</w:t>
            </w:r>
          </w:p>
          <w:p w14:paraId="5885056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（二）未依法与退役士兵签订劳动合同、聘用合同的；</w:t>
            </w:r>
          </w:p>
          <w:p w14:paraId="7E5EF6F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（三）与残疾退役士兵解除劳动关系或者人事关系的。</w:t>
            </w:r>
          </w:p>
        </w:tc>
      </w:tr>
      <w:tr w14:paraId="732E85AF">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75"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5FE5AA43">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0864BB9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lang w:eastAsia="zh-CN"/>
              </w:rPr>
            </w:pPr>
            <w:r>
              <w:rPr>
                <w:rFonts w:hint="eastAsia" w:ascii="仿宋_GB2312" w:hAnsi="仿宋_GB2312" w:eastAsia="仿宋_GB2312" w:cs="仿宋_GB2312"/>
                <w:b w:val="0"/>
                <w:bCs/>
                <w:sz w:val="19"/>
                <w:szCs w:val="19"/>
                <w:lang w:val="en-US" w:eastAsia="zh-CN"/>
              </w:rPr>
              <w:t>安置就业科</w:t>
            </w:r>
          </w:p>
        </w:tc>
      </w:tr>
      <w:tr w14:paraId="0481F51C">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5F5C8EC4">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3045506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1.立案责任：通过日常检查、上级交办、下级报请处理、有关部门移送、举报、投诉等途径发现企业未按规定接收安置退役士兵，经责令限期改正，仍拒不改正的予以立案。</w:t>
            </w:r>
          </w:p>
          <w:p w14:paraId="5F5DFC5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2.调查责任：对立案的案件及时组织调查取证，与当事人有直接利害关系的应当回避。执法人员不得少于两人，出示执法证件，表明执法身份，询问或者检查应当制作笔录，允许当事人陈述辩解。</w:t>
            </w:r>
          </w:p>
          <w:p w14:paraId="42852B6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3.审查责任：对案件违法事实、证据、调查取证程序、法律适用、处罚种类和幅度、当事人陈述和申辩等进行审查，提出处理意见。</w:t>
            </w:r>
          </w:p>
          <w:p w14:paraId="2DBAEEC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4.告知责任：作出行政处罚决定前，应制作《行政处罚告知书》送达当事人，告知其作出行政处罚决定的事实、理由及依据，并告知当事人依法享有的权利。符合听证规定的，制作并送达《行政处罚听证告知书》。</w:t>
            </w:r>
          </w:p>
          <w:p w14:paraId="4F91D40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5.决定责任：根据审理情况决定是否予以行政处罚。依法需要给予行政处罚的，制作</w:t>
            </w:r>
            <w:r>
              <w:rPr>
                <w:rFonts w:hint="eastAsia" w:ascii="仿宋_GB2312" w:hAnsi="仿宋_GB2312" w:eastAsia="仿宋_GB2312" w:cs="仿宋_GB2312"/>
                <w:b w:val="0"/>
                <w:bCs/>
                <w:sz w:val="19"/>
                <w:szCs w:val="19"/>
                <w:lang w:eastAsia="zh-CN"/>
              </w:rPr>
              <w:t>《</w:t>
            </w:r>
            <w:r>
              <w:rPr>
                <w:rFonts w:hint="eastAsia" w:ascii="仿宋_GB2312" w:hAnsi="仿宋_GB2312" w:eastAsia="仿宋_GB2312" w:cs="仿宋_GB2312"/>
                <w:b w:val="0"/>
                <w:bCs/>
                <w:sz w:val="19"/>
                <w:szCs w:val="19"/>
              </w:rPr>
              <w:t>行政处罚决定书</w:t>
            </w:r>
            <w:r>
              <w:rPr>
                <w:rFonts w:hint="eastAsia" w:ascii="仿宋_GB2312" w:hAnsi="仿宋_GB2312" w:eastAsia="仿宋_GB2312" w:cs="仿宋_GB2312"/>
                <w:b w:val="0"/>
                <w:bCs/>
                <w:sz w:val="19"/>
                <w:szCs w:val="19"/>
                <w:lang w:eastAsia="zh-CN"/>
              </w:rPr>
              <w:t>》</w:t>
            </w:r>
            <w:r>
              <w:rPr>
                <w:rFonts w:hint="eastAsia" w:ascii="仿宋_GB2312" w:hAnsi="仿宋_GB2312" w:eastAsia="仿宋_GB2312" w:cs="仿宋_GB2312"/>
                <w:b w:val="0"/>
                <w:bCs/>
                <w:sz w:val="19"/>
                <w:szCs w:val="19"/>
              </w:rPr>
              <w:t>，载明违法事实和证据、处罚依据和内容、申请行政复议或提起行政诉讼的途径和期限等内容。</w:t>
            </w:r>
          </w:p>
          <w:p w14:paraId="43E03D8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6.送达责任：按法律规定的方式和时限，将《行政处罚决定书》送达当事人。</w:t>
            </w:r>
          </w:p>
          <w:p w14:paraId="6F369EF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7.执行责任：依照生效的行政处罚决定执行。当事人逾期不履行行政处罚决定的，申请人民法院强制执行。</w:t>
            </w:r>
          </w:p>
          <w:p w14:paraId="2F2C388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8.其他责任：法律法规规章文件规定应履行的其他责任。</w:t>
            </w:r>
          </w:p>
        </w:tc>
      </w:tr>
      <w:tr w14:paraId="19F829F8">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FD8C1B7">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A37A56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color w:val="000000"/>
                <w:sz w:val="19"/>
                <w:szCs w:val="19"/>
              </w:rPr>
              <w:t>对不履行或不正确履行行政职责的行政机关及其工作人员，依据《中华人民共和国监察法》、《中华人民共和国行政处罚法》、《中华人民共和国行政强制法》、《中华人民共和国退役军人保障法》、《行政机关公务员处分条例》、《四川省行政执法监督条例》等法律法规规章的相关规定追究相应的责任。</w:t>
            </w:r>
          </w:p>
        </w:tc>
      </w:tr>
      <w:tr w14:paraId="42BA2AFC">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9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8BA5BCE">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B089EB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6E82C3BA">
      <w:pPr>
        <w:rPr>
          <w:b w:val="0"/>
          <w:bCs/>
        </w:rPr>
      </w:pPr>
    </w:p>
    <w:tbl>
      <w:tblPr>
        <w:tblStyle w:val="6"/>
        <w:tblW w:w="8070" w:type="dxa"/>
        <w:jc w:val="center"/>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Layout w:type="autofit"/>
        <w:tblCellMar>
          <w:top w:w="0" w:type="dxa"/>
          <w:left w:w="0" w:type="dxa"/>
          <w:bottom w:w="0" w:type="dxa"/>
          <w:right w:w="0" w:type="dxa"/>
        </w:tblCellMar>
      </w:tblPr>
      <w:tblGrid>
        <w:gridCol w:w="1470"/>
        <w:gridCol w:w="6600"/>
      </w:tblGrid>
      <w:tr w14:paraId="3A9EA879">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01"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35714721">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5166CD5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lang w:eastAsia="zh-CN"/>
              </w:rPr>
            </w:pPr>
            <w:r>
              <w:rPr>
                <w:rFonts w:hint="eastAsia" w:ascii="仿宋_GB2312" w:hAnsi="仿宋_GB2312" w:eastAsia="仿宋_GB2312" w:cs="仿宋_GB2312"/>
                <w:b w:val="0"/>
                <w:bCs/>
                <w:sz w:val="19"/>
                <w:szCs w:val="19"/>
                <w:lang w:val="en-US" w:eastAsia="zh-CN"/>
              </w:rPr>
              <w:t>2</w:t>
            </w:r>
          </w:p>
        </w:tc>
      </w:tr>
      <w:tr w14:paraId="660BE80A">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6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8654936">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1566E93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行政处罚</w:t>
            </w:r>
          </w:p>
        </w:tc>
      </w:tr>
      <w:tr w14:paraId="7CBDCF63">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45"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22F99E13">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336AB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lang w:eastAsia="zh-CN"/>
              </w:rPr>
            </w:pPr>
            <w:r>
              <w:rPr>
                <w:rFonts w:hint="eastAsia" w:ascii="仿宋_GB2312" w:hAnsi="仿宋_GB2312" w:eastAsia="仿宋_GB2312" w:cs="仿宋_GB2312"/>
                <w:b w:val="0"/>
                <w:bCs/>
                <w:sz w:val="19"/>
                <w:szCs w:val="19"/>
                <w:lang w:eastAsia="zh-CN"/>
              </w:rPr>
              <w:t>对弄虚作假骗取安置待遇的退役军人的行政处罚</w:t>
            </w:r>
          </w:p>
        </w:tc>
      </w:tr>
      <w:tr w14:paraId="01E43C69">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19798BC">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3F3B67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color w:val="000000"/>
                <w:sz w:val="19"/>
                <w:szCs w:val="19"/>
              </w:rPr>
            </w:pPr>
            <w:r>
              <w:rPr>
                <w:rFonts w:hint="eastAsia" w:ascii="仿宋_GB2312" w:hAnsi="仿宋_GB2312" w:eastAsia="仿宋_GB2312" w:cs="仿宋_GB2312"/>
                <w:b w:val="0"/>
                <w:bCs/>
                <w:color w:val="000000"/>
                <w:sz w:val="19"/>
                <w:szCs w:val="19"/>
              </w:rPr>
              <w:t>《中华人民共和国退役军人保障法》第七十八条：退役军人弄虚作假骗取退役相关待遇的，由县级以上地方人民政府退役军人工作主管部门取消相关待遇，追缴非法所得，并由其所在单位或者有关部门依法给予处分。</w:t>
            </w:r>
          </w:p>
          <w:p w14:paraId="610BAE1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color w:val="000000"/>
                <w:sz w:val="19"/>
                <w:szCs w:val="19"/>
              </w:rPr>
              <w:t>《退役士兵安置条例》（2011年国务院、中央军事委员会令第608号）第五十一条：退役士兵弄虚作假骗取安置待遇的，由安置地人民政府退役士兵安置工作主管部门取消相关安置待遇。</w:t>
            </w:r>
          </w:p>
        </w:tc>
      </w:tr>
      <w:tr w14:paraId="3EA69256">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75"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2952B62">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7B64D5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lang w:val="en-US" w:eastAsia="zh-CN"/>
              </w:rPr>
              <w:t>安置就业科</w:t>
            </w:r>
          </w:p>
        </w:tc>
      </w:tr>
      <w:tr w14:paraId="651DF86D">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37BC0B30">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C8044E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1.立案责任：在发现或者接到举报有相关违法行为时，及时审查，决定是否立案。</w:t>
            </w:r>
          </w:p>
          <w:p w14:paraId="4F27D73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2.调查责任：全面、客观、公正地进行调查，收集、调取证据，行政执法人员不得少于两人，调查时出示执法证件，允许当事人辩解陈述，保守有关秘密。</w:t>
            </w:r>
          </w:p>
          <w:p w14:paraId="73225A4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3.审查责任：对违法行为、违法事实、证据、调查取证程序、法律适用、处理种类和幅度、当事人陈述和申辩理由等方面进行审查，提出处理意见。</w:t>
            </w:r>
          </w:p>
          <w:p w14:paraId="071BBBA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4.告知责任：作出行政处罚决定前，应制作《行政处罚告知书》送达当事人，告知其作出行政处罚决定的事实、理由及依据，并告知当事人依法享有的权利。符合听证规定的，制作并送达《行政处罚听证告知书》。</w:t>
            </w:r>
          </w:p>
          <w:p w14:paraId="684C6DC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5.决定</w:t>
            </w:r>
            <w:r>
              <w:rPr>
                <w:rFonts w:hint="eastAsia" w:ascii="仿宋_GB2312" w:hAnsi="仿宋_GB2312" w:eastAsia="仿宋_GB2312" w:cs="仿宋_GB2312"/>
                <w:b w:val="0"/>
                <w:bCs/>
                <w:sz w:val="19"/>
                <w:szCs w:val="19"/>
                <w:lang w:eastAsia="zh-CN"/>
              </w:rPr>
              <w:t>责任</w:t>
            </w:r>
            <w:r>
              <w:rPr>
                <w:rFonts w:hint="eastAsia" w:ascii="仿宋_GB2312" w:hAnsi="仿宋_GB2312" w:eastAsia="仿宋_GB2312" w:cs="仿宋_GB2312"/>
                <w:b w:val="0"/>
                <w:bCs/>
                <w:sz w:val="19"/>
                <w:szCs w:val="19"/>
              </w:rPr>
              <w:t>：根据审理情况决定是否予以行政处罚。依法需要给予行政处罚的，制作行政处罚决定书，载明违法事实和证据、处罚依据和内容、申请行政复议或提起行政诉讼的途径和期限等内容。</w:t>
            </w:r>
          </w:p>
          <w:p w14:paraId="476AC5F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6.送达责任：在规定期限内将行政处罚决定书送达当事人。</w:t>
            </w:r>
          </w:p>
          <w:p w14:paraId="1F0B604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7.执行责任：监督当事人在决定的期限内履行生效的处罚决定。</w:t>
            </w:r>
          </w:p>
          <w:p w14:paraId="3DC593E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8.其他</w:t>
            </w:r>
            <w:r>
              <w:rPr>
                <w:rFonts w:hint="eastAsia" w:ascii="仿宋_GB2312" w:hAnsi="仿宋_GB2312" w:eastAsia="仿宋_GB2312" w:cs="仿宋_GB2312"/>
                <w:b w:val="0"/>
                <w:bCs/>
                <w:sz w:val="19"/>
                <w:szCs w:val="19"/>
                <w:lang w:eastAsia="zh-CN"/>
              </w:rPr>
              <w:t>责任：</w:t>
            </w:r>
            <w:r>
              <w:rPr>
                <w:rFonts w:hint="eastAsia" w:ascii="仿宋_GB2312" w:hAnsi="仿宋_GB2312" w:eastAsia="仿宋_GB2312" w:cs="仿宋_GB2312"/>
                <w:b w:val="0"/>
                <w:bCs/>
                <w:sz w:val="19"/>
                <w:szCs w:val="19"/>
              </w:rPr>
              <w:t>法律法规规章文件规定应履行的责任。</w:t>
            </w:r>
          </w:p>
        </w:tc>
      </w:tr>
      <w:tr w14:paraId="14B52D4F">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7B46B10">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CC51ED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color w:val="000000"/>
                <w:sz w:val="19"/>
                <w:szCs w:val="19"/>
              </w:rPr>
              <w:t>对不履行或不正确履行行政职责的行政机关及其工作人员，依据《中华人民共和国监察法》、《中华人民共和国行政处罚法》、《中华人民共和国行政强制法》、《中华人民共和国退役军人保障法》、《行政机关公务员处分条例》、《四川省行政执法监督条例》等法律法规规章的相关规定追究相应的</w:t>
            </w:r>
            <w:r>
              <w:rPr>
                <w:rFonts w:hint="eastAsia" w:ascii="仿宋_GB2312" w:hAnsi="仿宋_GB2312" w:eastAsia="仿宋_GB2312" w:cs="仿宋_GB2312"/>
                <w:b w:val="0"/>
                <w:bCs/>
                <w:color w:val="000000"/>
                <w:sz w:val="19"/>
                <w:szCs w:val="19"/>
                <w:lang w:eastAsia="zh-CN"/>
              </w:rPr>
              <w:t>其他</w:t>
            </w:r>
            <w:r>
              <w:rPr>
                <w:rFonts w:hint="eastAsia" w:ascii="仿宋_GB2312" w:hAnsi="仿宋_GB2312" w:eastAsia="仿宋_GB2312" w:cs="仿宋_GB2312"/>
                <w:b w:val="0"/>
                <w:bCs/>
                <w:color w:val="000000"/>
                <w:sz w:val="19"/>
                <w:szCs w:val="19"/>
              </w:rPr>
              <w:t>责任。</w:t>
            </w:r>
          </w:p>
        </w:tc>
      </w:tr>
      <w:tr w14:paraId="43FD153A">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9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41EB65C">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515447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0519200A">
      <w:pPr>
        <w:rPr>
          <w:b w:val="0"/>
          <w:bCs/>
        </w:rPr>
      </w:pPr>
    </w:p>
    <w:tbl>
      <w:tblPr>
        <w:tblStyle w:val="6"/>
        <w:tblW w:w="8070" w:type="dxa"/>
        <w:jc w:val="center"/>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Layout w:type="autofit"/>
        <w:tblCellMar>
          <w:top w:w="0" w:type="dxa"/>
          <w:left w:w="0" w:type="dxa"/>
          <w:bottom w:w="0" w:type="dxa"/>
          <w:right w:w="0" w:type="dxa"/>
        </w:tblCellMar>
      </w:tblPr>
      <w:tblGrid>
        <w:gridCol w:w="1470"/>
        <w:gridCol w:w="6600"/>
      </w:tblGrid>
      <w:tr w14:paraId="2678F74A">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01"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21D9E011">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5D94744">
            <w:pPr>
              <w:jc w:val="center"/>
              <w:rPr>
                <w:rFonts w:hint="eastAsia" w:ascii="仿宋_GB2312" w:hAnsi="仿宋_GB2312" w:eastAsia="仿宋_GB2312" w:cs="仿宋_GB2312"/>
                <w:b w:val="0"/>
                <w:bCs/>
                <w:sz w:val="19"/>
                <w:szCs w:val="19"/>
                <w:lang w:eastAsia="zh-CN"/>
              </w:rPr>
            </w:pPr>
            <w:r>
              <w:rPr>
                <w:rFonts w:hint="eastAsia" w:ascii="仿宋_GB2312" w:hAnsi="仿宋_GB2312" w:eastAsia="仿宋_GB2312" w:cs="仿宋_GB2312"/>
                <w:b w:val="0"/>
                <w:bCs/>
                <w:color w:val="000000"/>
                <w:szCs w:val="21"/>
                <w:lang w:val="en-US" w:eastAsia="zh-CN"/>
              </w:rPr>
              <w:t>3</w:t>
            </w:r>
          </w:p>
        </w:tc>
      </w:tr>
      <w:tr w14:paraId="793FEB4F">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6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59948AB4">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0E7B022D">
            <w:pPr>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Cs w:val="21"/>
                <w:lang w:eastAsia="zh-CN"/>
              </w:rPr>
              <w:t>行政确认</w:t>
            </w:r>
          </w:p>
        </w:tc>
      </w:tr>
      <w:tr w14:paraId="66AB9EE3">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45"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3742748">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05268D0E">
            <w:pPr>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Cs w:val="21"/>
                <w:lang w:val="en-US" w:eastAsia="zh-CN"/>
              </w:rPr>
              <w:t>残疾性质认定和残疾等级评定（涉密）</w:t>
            </w:r>
            <w:r>
              <w:rPr>
                <w:rFonts w:hint="eastAsia" w:ascii="仿宋_GB2312" w:hAnsi="仿宋_GB2312" w:eastAsia="仿宋_GB2312" w:cs="仿宋_GB2312"/>
                <w:b w:val="0"/>
                <w:bCs/>
                <w:color w:val="000000"/>
                <w:szCs w:val="21"/>
              </w:rPr>
              <w:tab/>
            </w:r>
          </w:p>
        </w:tc>
      </w:tr>
      <w:tr w14:paraId="10475452">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0C8AB75F">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C08282F">
            <w:pPr>
              <w:keepNext w:val="0"/>
              <w:keepLines w:val="0"/>
              <w:widowControl/>
              <w:suppressLineNumbers w:val="0"/>
              <w:jc w:val="left"/>
              <w:rPr>
                <w:rFonts w:hint="eastAsia" w:ascii="仿宋_GB2312" w:hAnsi="仿宋_GB2312" w:eastAsia="仿宋_GB2312" w:cs="仿宋_GB2312"/>
                <w:b w:val="0"/>
                <w:bCs/>
                <w:kern w:val="2"/>
                <w:sz w:val="21"/>
                <w:szCs w:val="21"/>
                <w:lang w:val="en-US" w:eastAsia="zh-CN" w:bidi="ar-SA"/>
              </w:rPr>
            </w:pPr>
          </w:p>
          <w:p w14:paraId="528687E4">
            <w:pPr>
              <w:keepNext w:val="0"/>
              <w:keepLines w:val="0"/>
              <w:widowControl/>
              <w:suppressLineNumbers w:val="0"/>
              <w:jc w:val="left"/>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kern w:val="2"/>
                <w:sz w:val="21"/>
                <w:szCs w:val="21"/>
                <w:lang w:val="en-US" w:eastAsia="zh-CN" w:bidi="ar-SA"/>
              </w:rPr>
              <w:t xml:space="preserve">    1.《军人抚恤优待条例》（国务院、中央军事委员会令第714号）第二十三条：“现役军人因战、因公致残，医疗终结后符合评定残疾等级条件的，应当评定残疾等级。义务兵和初级士官因病致残符合评定残疾等级条件，本人（精神病患者由其利害关系人）提出申请的，也应当评定残疾等级。”</w:t>
            </w:r>
          </w:p>
          <w:p w14:paraId="7F3EF10D">
            <w:pPr>
              <w:keepNext w:val="0"/>
              <w:keepLines w:val="0"/>
              <w:widowControl/>
              <w:suppressLineNumbers w:val="0"/>
              <w:jc w:val="left"/>
              <w:rPr>
                <w:rFonts w:hint="eastAsia" w:ascii="仿宋_GB2312" w:hAnsi="仿宋_GB2312" w:eastAsia="仿宋_GB2312" w:cs="仿宋_GB2312"/>
                <w:b w:val="0"/>
                <w:bCs/>
                <w:color w:val="auto"/>
              </w:rPr>
            </w:pPr>
            <w:r>
              <w:rPr>
                <w:rFonts w:hint="eastAsia" w:ascii="仿宋_GB2312" w:hAnsi="仿宋_GB2312" w:eastAsia="仿宋_GB2312" w:cs="仿宋_GB2312"/>
                <w:b w:val="0"/>
                <w:bCs/>
                <w:i w:val="0"/>
                <w:iCs w:val="0"/>
                <w:caps w:val="0"/>
                <w:color w:val="auto"/>
                <w:spacing w:val="0"/>
                <w:kern w:val="0"/>
                <w:sz w:val="21"/>
                <w:szCs w:val="21"/>
                <w:shd w:val="clear" w:color="auto" w:fill="FFFFFF"/>
                <w:lang w:val="en-US" w:eastAsia="zh-CN" w:bidi="ar"/>
              </w:rPr>
              <w:t xml:space="preserve">    第二十五条：“现役军人因战、因公致残，未及时评定残疾等级，退出现役后或者医疗终结满3年后，本人(精神病患者由其利害关系人)申请补办评定残疾等级，有档案记载或者有原始医疗证明的，可以评定残疾等级。”</w:t>
            </w:r>
          </w:p>
          <w:p w14:paraId="77F00352">
            <w:pPr>
              <w:keepNext w:val="0"/>
              <w:keepLines w:val="0"/>
              <w:widowControl/>
              <w:suppressLineNumbers w:val="0"/>
              <w:jc w:val="left"/>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kern w:val="2"/>
                <w:sz w:val="21"/>
                <w:szCs w:val="21"/>
                <w:lang w:val="en-US" w:eastAsia="zh-CN" w:bidi="ar-SA"/>
              </w:rPr>
              <w:t xml:space="preserve">    2.《伤残抚恤管理办法》（退役军人事务部令第1号）第九条：“设区的市级人民政府退役军人事务部门对报送的材料审查后，在《残疾等级评定审批表》上签署意见，并加盖印章。”</w:t>
            </w:r>
          </w:p>
          <w:p w14:paraId="131A85A1">
            <w:pPr>
              <w:keepNext w:val="0"/>
              <w:keepLines w:val="0"/>
              <w:widowControl/>
              <w:suppressLineNumbers w:val="0"/>
              <w:jc w:val="left"/>
              <w:rPr>
                <w:rFonts w:hint="eastAsia" w:ascii="仿宋_GB2312" w:hAnsi="仿宋_GB2312" w:eastAsia="仿宋_GB2312" w:cs="仿宋_GB2312"/>
                <w:b w:val="0"/>
                <w:bCs/>
                <w:kern w:val="2"/>
                <w:sz w:val="21"/>
                <w:szCs w:val="21"/>
                <w:lang w:val="en-US" w:eastAsia="zh-CN" w:bidi="ar-SA"/>
              </w:rPr>
            </w:pPr>
            <w:r>
              <w:rPr>
                <w:rFonts w:hint="eastAsia" w:ascii="仿宋_GB2312" w:hAnsi="仿宋_GB2312" w:eastAsia="仿宋_GB2312" w:cs="仿宋_GB2312"/>
                <w:b w:val="0"/>
                <w:bCs/>
                <w:kern w:val="2"/>
                <w:sz w:val="21"/>
                <w:szCs w:val="21"/>
                <w:lang w:val="en-US" w:eastAsia="zh-CN" w:bidi="ar-SA"/>
              </w:rPr>
              <w:t xml:space="preserve">    3.《四川省伤残抚恤工作细则》（川退役军人发〔2020〕83号）第十五条：“市级人民政府退役军人事务部门按下列程序办理评残事宜。”</w:t>
            </w:r>
          </w:p>
          <w:p w14:paraId="28089AA2">
            <w:pPr>
              <w:keepNext w:val="0"/>
              <w:keepLines w:val="0"/>
              <w:widowControl/>
              <w:suppressLineNumbers w:val="0"/>
              <w:jc w:val="left"/>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kern w:val="2"/>
                <w:sz w:val="21"/>
                <w:szCs w:val="21"/>
                <w:lang w:val="en-US" w:eastAsia="zh-CN" w:bidi="ar-SA"/>
              </w:rPr>
              <w:t xml:space="preserve">   </w:t>
            </w:r>
          </w:p>
        </w:tc>
      </w:tr>
      <w:tr w14:paraId="636DAEC8">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75"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5EC309E2">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4912A46A">
            <w:pPr>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color w:val="000000"/>
                <w:szCs w:val="21"/>
                <w:lang w:val="en-US" w:eastAsia="zh-CN"/>
              </w:rPr>
              <w:t>优抚褒扬科</w:t>
            </w:r>
          </w:p>
        </w:tc>
      </w:tr>
      <w:tr w14:paraId="17BDB933">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2E05E6C">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A5F575D">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w:t>
            </w:r>
          </w:p>
          <w:p w14:paraId="5D81CF73">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1.受理责任：接收</w:t>
            </w:r>
            <w:r>
              <w:rPr>
                <w:rFonts w:hint="eastAsia" w:ascii="仿宋_GB2312" w:hAnsi="仿宋_GB2312" w:eastAsia="仿宋_GB2312" w:cs="仿宋_GB2312"/>
                <w:b w:val="0"/>
                <w:bCs/>
                <w:color w:val="000000"/>
                <w:szCs w:val="21"/>
                <w:lang w:eastAsia="zh-CN"/>
              </w:rPr>
              <w:t>县级退役军人事务部门报送</w:t>
            </w:r>
            <w:r>
              <w:rPr>
                <w:rFonts w:hint="eastAsia" w:ascii="仿宋_GB2312" w:hAnsi="仿宋_GB2312" w:eastAsia="仿宋_GB2312" w:cs="仿宋_GB2312"/>
                <w:b w:val="0"/>
                <w:bCs/>
                <w:color w:val="000000"/>
                <w:szCs w:val="21"/>
              </w:rPr>
              <w:t>材料 ；一次性告知补正材料，受理或不予受理（不予受理的告知理由）。</w:t>
            </w:r>
          </w:p>
          <w:p w14:paraId="1B5513DD">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2.审查责任：对申报材料进行</w:t>
            </w:r>
            <w:r>
              <w:rPr>
                <w:rFonts w:hint="eastAsia" w:ascii="仿宋_GB2312" w:hAnsi="仿宋_GB2312" w:eastAsia="仿宋_GB2312" w:cs="仿宋_GB2312"/>
                <w:b w:val="0"/>
                <w:bCs/>
                <w:color w:val="000000"/>
                <w:szCs w:val="21"/>
                <w:lang w:eastAsia="zh-CN"/>
              </w:rPr>
              <w:t>审查</w:t>
            </w:r>
            <w:r>
              <w:rPr>
                <w:rFonts w:hint="eastAsia" w:ascii="仿宋_GB2312" w:hAnsi="仿宋_GB2312" w:eastAsia="仿宋_GB2312" w:cs="仿宋_GB2312"/>
                <w:b w:val="0"/>
                <w:bCs/>
                <w:color w:val="000000"/>
                <w:szCs w:val="21"/>
              </w:rPr>
              <w:t>。</w:t>
            </w:r>
          </w:p>
          <w:p w14:paraId="20159A5F">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3.决定责任：对符合条件的报</w:t>
            </w:r>
            <w:r>
              <w:rPr>
                <w:rFonts w:hint="eastAsia" w:ascii="仿宋_GB2312" w:hAnsi="仿宋_GB2312" w:eastAsia="仿宋_GB2312" w:cs="仿宋_GB2312"/>
                <w:b w:val="0"/>
                <w:bCs/>
                <w:color w:val="000000"/>
                <w:szCs w:val="21"/>
                <w:lang w:eastAsia="zh-CN"/>
              </w:rPr>
              <w:t>省</w:t>
            </w:r>
            <w:r>
              <w:rPr>
                <w:rFonts w:hint="eastAsia" w:ascii="仿宋_GB2312" w:hAnsi="仿宋_GB2312" w:eastAsia="仿宋_GB2312" w:cs="仿宋_GB2312"/>
                <w:b w:val="0"/>
                <w:bCs/>
                <w:color w:val="000000"/>
                <w:szCs w:val="21"/>
              </w:rPr>
              <w:t>级退役军人事务部门</w:t>
            </w:r>
            <w:r>
              <w:rPr>
                <w:rFonts w:hint="eastAsia" w:ascii="仿宋_GB2312" w:hAnsi="仿宋_GB2312" w:eastAsia="仿宋_GB2312" w:cs="仿宋_GB2312"/>
                <w:b w:val="0"/>
                <w:bCs/>
                <w:color w:val="000000"/>
                <w:szCs w:val="21"/>
                <w:lang w:eastAsia="zh-CN"/>
              </w:rPr>
              <w:t>审批</w:t>
            </w:r>
            <w:r>
              <w:rPr>
                <w:rFonts w:hint="eastAsia" w:ascii="仿宋_GB2312" w:hAnsi="仿宋_GB2312" w:eastAsia="仿宋_GB2312" w:cs="仿宋_GB2312"/>
                <w:b w:val="0"/>
                <w:bCs/>
                <w:color w:val="000000"/>
                <w:szCs w:val="21"/>
              </w:rPr>
              <w:t>；不同意</w:t>
            </w:r>
            <w:r>
              <w:rPr>
                <w:rFonts w:hint="eastAsia" w:ascii="仿宋_GB2312" w:hAnsi="仿宋_GB2312" w:eastAsia="仿宋_GB2312" w:cs="仿宋_GB2312"/>
                <w:b w:val="0"/>
                <w:bCs/>
                <w:color w:val="000000"/>
                <w:szCs w:val="21"/>
                <w:lang w:eastAsia="zh-CN"/>
              </w:rPr>
              <w:t>的</w:t>
            </w:r>
            <w:r>
              <w:rPr>
                <w:rFonts w:hint="eastAsia" w:ascii="仿宋_GB2312" w:hAnsi="仿宋_GB2312" w:eastAsia="仿宋_GB2312" w:cs="仿宋_GB2312"/>
                <w:b w:val="0"/>
                <w:bCs/>
                <w:color w:val="000000"/>
                <w:szCs w:val="21"/>
              </w:rPr>
              <w:t>告知理由。</w:t>
            </w:r>
          </w:p>
          <w:p w14:paraId="2372D5A7">
            <w:pPr>
              <w:ind w:firstLine="419"/>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rPr>
              <w:t>4.送达责任：</w:t>
            </w:r>
            <w:r>
              <w:rPr>
                <w:rFonts w:hint="eastAsia" w:ascii="仿宋_GB2312" w:hAnsi="仿宋_GB2312" w:eastAsia="仿宋_GB2312" w:cs="仿宋_GB2312"/>
                <w:b w:val="0"/>
                <w:bCs/>
                <w:color w:val="000000"/>
                <w:szCs w:val="21"/>
                <w:lang w:eastAsia="zh-CN"/>
              </w:rPr>
              <w:t>省级退役军人事务部门审批后，</w:t>
            </w:r>
            <w:r>
              <w:rPr>
                <w:rFonts w:hint="eastAsia" w:ascii="仿宋_GB2312" w:hAnsi="仿宋_GB2312" w:eastAsia="仿宋_GB2312" w:cs="仿宋_GB2312"/>
                <w:b w:val="0"/>
                <w:bCs/>
                <w:color w:val="000000"/>
                <w:szCs w:val="21"/>
              </w:rPr>
              <w:t>在规定期限内逐级向申请人送达相关</w:t>
            </w:r>
            <w:r>
              <w:rPr>
                <w:rFonts w:hint="eastAsia" w:ascii="仿宋_GB2312" w:hAnsi="仿宋_GB2312" w:eastAsia="仿宋_GB2312" w:cs="仿宋_GB2312"/>
                <w:b w:val="0"/>
                <w:bCs/>
                <w:color w:val="000000"/>
                <w:szCs w:val="21"/>
                <w:lang w:eastAsia="zh-CN"/>
              </w:rPr>
              <w:t>材料。</w:t>
            </w:r>
          </w:p>
          <w:p w14:paraId="2CB3EAAD">
            <w:pPr>
              <w:ind w:firstLine="419"/>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color w:val="000000"/>
                <w:szCs w:val="21"/>
                <w:lang w:val="en-US" w:eastAsia="zh-CN"/>
              </w:rPr>
              <w:t>5.</w:t>
            </w:r>
            <w:r>
              <w:rPr>
                <w:rFonts w:hint="eastAsia" w:ascii="仿宋_GB2312" w:hAnsi="仿宋_GB2312" w:eastAsia="仿宋_GB2312" w:cs="仿宋_GB2312"/>
                <w:b w:val="0"/>
                <w:bCs/>
                <w:color w:val="000000"/>
                <w:szCs w:val="21"/>
              </w:rPr>
              <w:t>其他责任：法律法规规章文件规定应履行的其他责任。</w:t>
            </w:r>
          </w:p>
        </w:tc>
      </w:tr>
      <w:tr w14:paraId="26FC8DF8">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10DA70BE">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6F2262C9">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对不履行或不正确履行行政职责的行政机关及其工作人员，依据《中华人民共和国监察法》、《中华人民共和国退役军人保障法》、《行政机关公务员处分条例》、</w:t>
            </w:r>
            <w:r>
              <w:rPr>
                <w:rFonts w:hint="eastAsia" w:ascii="仿宋_GB2312" w:hAnsi="仿宋_GB2312" w:eastAsia="仿宋_GB2312" w:cs="仿宋_GB2312"/>
                <w:b w:val="0"/>
                <w:bCs/>
                <w:kern w:val="2"/>
                <w:sz w:val="21"/>
                <w:szCs w:val="21"/>
                <w:lang w:val="en-US" w:eastAsia="zh-CN" w:bidi="ar-SA"/>
              </w:rPr>
              <w:t>《军人抚恤优待条例》、</w:t>
            </w:r>
            <w:r>
              <w:rPr>
                <w:rFonts w:hint="eastAsia" w:ascii="仿宋_GB2312" w:hAnsi="仿宋_GB2312" w:eastAsia="仿宋_GB2312" w:cs="仿宋_GB2312"/>
                <w:b w:val="0"/>
                <w:bCs/>
                <w:color w:val="000000"/>
                <w:szCs w:val="21"/>
              </w:rPr>
              <w:t>《四川省行政执法监督条例》、</w:t>
            </w:r>
            <w:r>
              <w:rPr>
                <w:rFonts w:hint="eastAsia" w:ascii="仿宋_GB2312" w:hAnsi="仿宋_GB2312" w:eastAsia="仿宋_GB2312" w:cs="仿宋_GB2312"/>
                <w:b w:val="0"/>
                <w:bCs/>
                <w:kern w:val="2"/>
                <w:sz w:val="21"/>
                <w:szCs w:val="21"/>
                <w:lang w:val="en-US" w:eastAsia="zh-CN" w:bidi="ar-SA"/>
              </w:rPr>
              <w:t>《伤残抚恤管理办法》</w:t>
            </w:r>
            <w:r>
              <w:rPr>
                <w:rFonts w:hint="eastAsia" w:ascii="仿宋_GB2312" w:hAnsi="仿宋_GB2312" w:eastAsia="仿宋_GB2312" w:cs="仿宋_GB2312"/>
                <w:b w:val="0"/>
                <w:bCs/>
                <w:color w:val="000000"/>
                <w:szCs w:val="21"/>
              </w:rPr>
              <w:t>、</w:t>
            </w:r>
            <w:r>
              <w:rPr>
                <w:rFonts w:hint="eastAsia" w:ascii="仿宋_GB2312" w:hAnsi="仿宋_GB2312" w:eastAsia="仿宋_GB2312" w:cs="仿宋_GB2312"/>
                <w:b w:val="0"/>
                <w:bCs/>
                <w:kern w:val="2"/>
                <w:sz w:val="21"/>
                <w:szCs w:val="21"/>
                <w:lang w:val="en-US" w:eastAsia="zh-CN" w:bidi="ar-SA"/>
              </w:rPr>
              <w:t>《四川省伤残抚恤工作细则》、</w:t>
            </w:r>
            <w:r>
              <w:rPr>
                <w:rFonts w:hint="eastAsia" w:ascii="仿宋_GB2312" w:hAnsi="仿宋_GB2312" w:eastAsia="仿宋_GB2312" w:cs="仿宋_GB2312"/>
                <w:b w:val="0"/>
                <w:bCs/>
                <w:color w:val="000000"/>
                <w:szCs w:val="21"/>
              </w:rPr>
              <w:t>《四川省行政审批违法违纪行为责任追究办法》等法律法规规章的相关规定追究相应的责任。</w:t>
            </w:r>
          </w:p>
          <w:p w14:paraId="1803E4C0">
            <w:pPr>
              <w:rPr>
                <w:rFonts w:hint="eastAsia" w:ascii="仿宋_GB2312" w:hAnsi="仿宋_GB2312" w:eastAsia="仿宋_GB2312" w:cs="仿宋_GB2312"/>
                <w:b w:val="0"/>
                <w:bCs/>
                <w:sz w:val="19"/>
                <w:szCs w:val="19"/>
              </w:rPr>
            </w:pPr>
          </w:p>
        </w:tc>
      </w:tr>
      <w:tr w14:paraId="48314CE1">
        <w:tblPrEx>
          <w:tblBorders>
            <w:top w:val="outset" w:color="333333" w:sz="6" w:space="0"/>
            <w:left w:val="outset" w:color="333333" w:sz="6" w:space="0"/>
            <w:bottom w:val="outset" w:color="333333" w:sz="6" w:space="0"/>
            <w:right w:val="outset" w:color="333333" w:sz="6" w:space="0"/>
            <w:insideH w:val="outset" w:color="auto" w:sz="6" w:space="0"/>
            <w:insideV w:val="outset" w:color="auto" w:sz="6" w:space="0"/>
          </w:tblBorders>
          <w:tblCellMar>
            <w:top w:w="0" w:type="dxa"/>
            <w:left w:w="0" w:type="dxa"/>
            <w:bottom w:w="0" w:type="dxa"/>
            <w:right w:w="0" w:type="dxa"/>
          </w:tblCellMar>
        </w:tblPrEx>
        <w:trPr>
          <w:trHeight w:val="390" w:hRule="atLeast"/>
          <w:jc w:val="center"/>
        </w:trPr>
        <w:tc>
          <w:tcPr>
            <w:tcW w:w="147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25D2DA03">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00" w:type="dxa"/>
            <w:tcBorders>
              <w:top w:val="single" w:color="000000" w:sz="6" w:space="0"/>
              <w:left w:val="single" w:color="000000" w:sz="6" w:space="0"/>
              <w:bottom w:val="single" w:color="000000" w:sz="6" w:space="0"/>
              <w:right w:val="single" w:color="000000" w:sz="6" w:space="0"/>
            </w:tcBorders>
            <w:noWrap w:val="0"/>
            <w:tcMar>
              <w:top w:w="75" w:type="dxa"/>
              <w:left w:w="75" w:type="dxa"/>
              <w:bottom w:w="75" w:type="dxa"/>
              <w:right w:w="75" w:type="dxa"/>
            </w:tcMar>
            <w:vAlign w:val="center"/>
          </w:tcPr>
          <w:p w14:paraId="792BC952">
            <w:pPr>
              <w:jc w:val="center"/>
              <w:rPr>
                <w:rFonts w:hint="eastAsia" w:ascii="仿宋_GB2312" w:hAnsi="仿宋_GB2312" w:eastAsia="仿宋_GB2312" w:cs="仿宋_GB2312"/>
                <w:b w:val="0"/>
                <w:bCs/>
                <w:sz w:val="19"/>
                <w:szCs w:val="19"/>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126C21F8">
      <w:pPr>
        <w:bidi w:val="0"/>
        <w:rPr>
          <w:rFonts w:hint="eastAsia"/>
          <w:b w:val="0"/>
          <w:bCs/>
        </w:rPr>
      </w:pPr>
    </w:p>
    <w:tbl>
      <w:tblPr>
        <w:tblStyle w:val="6"/>
        <w:tblW w:w="0" w:type="auto"/>
        <w:tblInd w:w="4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0"/>
        <w:gridCol w:w="6600"/>
      </w:tblGrid>
      <w:tr w14:paraId="003205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480" w:type="dxa"/>
            <w:noWrap w:val="0"/>
            <w:vAlign w:val="center"/>
          </w:tcPr>
          <w:p w14:paraId="064B6E53">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序号</w:t>
            </w:r>
          </w:p>
        </w:tc>
        <w:tc>
          <w:tcPr>
            <w:tcW w:w="6600" w:type="dxa"/>
            <w:noWrap w:val="0"/>
            <w:vAlign w:val="center"/>
          </w:tcPr>
          <w:p w14:paraId="3A220F59">
            <w:pPr>
              <w:jc w:val="center"/>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4</w:t>
            </w:r>
          </w:p>
        </w:tc>
      </w:tr>
      <w:tr w14:paraId="6145E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480" w:type="dxa"/>
            <w:noWrap w:val="0"/>
            <w:vAlign w:val="center"/>
          </w:tcPr>
          <w:p w14:paraId="0BE80360">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权力类型</w:t>
            </w:r>
          </w:p>
        </w:tc>
        <w:tc>
          <w:tcPr>
            <w:tcW w:w="6600" w:type="dxa"/>
            <w:noWrap w:val="0"/>
            <w:vAlign w:val="center"/>
          </w:tcPr>
          <w:p w14:paraId="50D3BE40">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Cs w:val="21"/>
                <w:lang w:eastAsia="zh-CN"/>
              </w:rPr>
              <w:t>行政确认</w:t>
            </w:r>
          </w:p>
        </w:tc>
      </w:tr>
      <w:tr w14:paraId="464AB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480" w:type="dxa"/>
            <w:noWrap w:val="0"/>
            <w:vAlign w:val="center"/>
          </w:tcPr>
          <w:p w14:paraId="54462716">
            <w:pPr>
              <w:jc w:val="center"/>
              <w:rPr>
                <w:rFonts w:hint="default"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00" w:type="dxa"/>
            <w:noWrap w:val="0"/>
            <w:vAlign w:val="center"/>
          </w:tcPr>
          <w:p w14:paraId="140172D7">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Cs w:val="21"/>
                <w:lang w:eastAsia="zh-CN"/>
              </w:rPr>
              <w:t>烈士评定</w:t>
            </w:r>
          </w:p>
        </w:tc>
      </w:tr>
      <w:tr w14:paraId="5841F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07" w:hRule="atLeast"/>
        </w:trPr>
        <w:tc>
          <w:tcPr>
            <w:tcW w:w="1480" w:type="dxa"/>
            <w:noWrap w:val="0"/>
            <w:vAlign w:val="center"/>
          </w:tcPr>
          <w:p w14:paraId="6F20BEA6">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实施依据</w:t>
            </w:r>
          </w:p>
        </w:tc>
        <w:tc>
          <w:tcPr>
            <w:tcW w:w="6600" w:type="dxa"/>
            <w:noWrap w:val="0"/>
            <w:vAlign w:val="center"/>
          </w:tcPr>
          <w:p w14:paraId="1A2FC5B8">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《烈士褒扬条例》第八条 公民牺牲符合下列情形之一的，评定为烈士：</w:t>
            </w:r>
          </w:p>
          <w:p w14:paraId="331B9A10">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（一）在依法查处违法犯罪行为、执行国家安全工作任务、执行反恐怖任务和处置突发事件中牺牲的；</w:t>
            </w:r>
          </w:p>
          <w:p w14:paraId="2F7D0154">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（二）抢险救灾或者其他为了抢救、保护国家财产、集体财产、公民生命财产牺牲的；</w:t>
            </w:r>
          </w:p>
          <w:p w14:paraId="5BEF2E27">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（三）在执行外交任务或者国家派遣的对外援助、维持国际和平任务中牺牲的；</w:t>
            </w:r>
          </w:p>
          <w:p w14:paraId="055476AC">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（四）在执行武器装备科研试验任务中牺牲的；</w:t>
            </w:r>
          </w:p>
          <w:p w14:paraId="1A2A1615">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（五）其他牺牲情节特别突出，堪为楷模的。</w:t>
            </w:r>
          </w:p>
          <w:p w14:paraId="2B1CDE91">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现役军人牺牲，预备役人员、民兵、民工以及其他人员因参战、参加军事演习和军事训练、执行军事勤务牺牲应当评定烈士的，依照《军人抚恤优待条例》的有关规定评定。</w:t>
            </w:r>
          </w:p>
          <w:p w14:paraId="65A29628">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第九条 申报烈士的，由死者生前所在工作单位、死者遗属或者事件发生地的组织、公民向死者生前工作单位所在地、死者遗属户口所在地或者事件发生地的县级人民政府退役军人事务部门提供有关死者牺牲情节的材料，由收到材料的县级人民政府退役军人事务部门调查核实后提出评定烈士的报告，报本级人民政府审核。</w:t>
            </w:r>
          </w:p>
          <w:p w14:paraId="21D5FD13">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属于本条例第八条第一款第一项、第二项规定情形的，由县级人民政府提出评定烈士的报告并逐级上报至省、自治区、直辖市人民政府审查评定。评定为烈士的，由省、自治区、直辖市人民政府送国务院</w:t>
            </w:r>
            <w:r>
              <w:rPr>
                <w:rFonts w:hint="eastAsia" w:ascii="仿宋_GB2312" w:hAnsi="仿宋_GB2312" w:eastAsia="仿宋_GB2312" w:cs="仿宋_GB2312"/>
                <w:b w:val="0"/>
                <w:bCs/>
                <w:color w:val="000000"/>
                <w:szCs w:val="21"/>
                <w:lang w:val="en-US" w:eastAsia="zh-CN"/>
              </w:rPr>
              <w:t>退役军人事务</w:t>
            </w:r>
            <w:r>
              <w:rPr>
                <w:rFonts w:hint="eastAsia" w:ascii="仿宋_GB2312" w:hAnsi="仿宋_GB2312" w:eastAsia="仿宋_GB2312" w:cs="仿宋_GB2312"/>
                <w:b w:val="0"/>
                <w:bCs/>
                <w:color w:val="000000"/>
                <w:szCs w:val="21"/>
              </w:rPr>
              <w:t>部门备案。</w:t>
            </w:r>
          </w:p>
          <w:p w14:paraId="221ED009">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属于本条例第八条第一款第三项、第四项规定情形的，由国务院有关部门提出评定烈士的报告，送国务院退役军人事务部门审查评定。</w:t>
            </w:r>
          </w:p>
          <w:p w14:paraId="48B880ED">
            <w:pPr>
              <w:keepNext w:val="0"/>
              <w:keepLines w:val="0"/>
              <w:pageBreakBefore w:val="0"/>
              <w:widowControl w:val="0"/>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属于本条例第八条第一款第五项规定情形的，由县级人民政府提出评定烈士的报告并逐级上报至省、自治区、直辖市人民政府，由省、自治区、直辖市人民政府审查后送国务院退役军人事务部门审查评定。</w:t>
            </w:r>
          </w:p>
        </w:tc>
      </w:tr>
      <w:tr w14:paraId="304F0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480" w:type="dxa"/>
            <w:noWrap w:val="0"/>
            <w:vAlign w:val="center"/>
          </w:tcPr>
          <w:p w14:paraId="0F4C3508">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责任主体</w:t>
            </w:r>
          </w:p>
        </w:tc>
        <w:tc>
          <w:tcPr>
            <w:tcW w:w="6600" w:type="dxa"/>
            <w:noWrap w:val="0"/>
            <w:vAlign w:val="center"/>
          </w:tcPr>
          <w:p w14:paraId="12E2AE5C">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优抚褒扬科</w:t>
            </w:r>
          </w:p>
        </w:tc>
      </w:tr>
      <w:tr w14:paraId="3EE38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7" w:hRule="atLeast"/>
        </w:trPr>
        <w:tc>
          <w:tcPr>
            <w:tcW w:w="1480" w:type="dxa"/>
            <w:noWrap w:val="0"/>
            <w:vAlign w:val="center"/>
          </w:tcPr>
          <w:p w14:paraId="1124C0F2">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责任事项</w:t>
            </w:r>
          </w:p>
        </w:tc>
        <w:tc>
          <w:tcPr>
            <w:tcW w:w="6600" w:type="dxa"/>
            <w:noWrap w:val="0"/>
            <w:vAlign w:val="center"/>
          </w:tcPr>
          <w:p w14:paraId="36EE4060">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lang w:val="en-US" w:eastAsia="zh-CN"/>
              </w:rPr>
            </w:pPr>
            <w:r>
              <w:rPr>
                <w:rFonts w:hint="eastAsia" w:ascii="仿宋_GB2312" w:hAnsi="仿宋_GB2312" w:eastAsia="仿宋_GB2312" w:cs="仿宋_GB2312"/>
                <w:b w:val="0"/>
                <w:bCs/>
                <w:color w:val="000000"/>
                <w:szCs w:val="21"/>
                <w:lang w:val="en-US" w:eastAsia="zh-CN"/>
              </w:rPr>
              <w:t>1.审核责任：同一事件牺牲3人以上的，需到现场进行调查核实。在30个工作日内完成调查核实并形成调查材料和审查意见报告省级退役军人事务部门预审，同时报市人民政府审核。</w:t>
            </w:r>
          </w:p>
          <w:p w14:paraId="71ADDEBE">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200"/>
              <w:jc w:val="both"/>
              <w:textAlignment w:val="auto"/>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2.</w:t>
            </w:r>
            <w:r>
              <w:rPr>
                <w:rFonts w:hint="eastAsia" w:ascii="仿宋_GB2312" w:hAnsi="仿宋_GB2312" w:eastAsia="仿宋_GB2312" w:cs="仿宋_GB2312"/>
                <w:b w:val="0"/>
                <w:bCs/>
                <w:color w:val="000000"/>
                <w:szCs w:val="21"/>
              </w:rPr>
              <w:t>其他责任：法律法规规章文件规定应履行的其他责任。</w:t>
            </w:r>
          </w:p>
        </w:tc>
      </w:tr>
      <w:tr w14:paraId="1C424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8" w:hRule="atLeast"/>
        </w:trPr>
        <w:tc>
          <w:tcPr>
            <w:tcW w:w="1480" w:type="dxa"/>
            <w:noWrap w:val="0"/>
            <w:vAlign w:val="center"/>
          </w:tcPr>
          <w:p w14:paraId="168907F5">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追责情形</w:t>
            </w:r>
          </w:p>
        </w:tc>
        <w:tc>
          <w:tcPr>
            <w:tcW w:w="6600" w:type="dxa"/>
            <w:noWrap w:val="0"/>
            <w:vAlign w:val="center"/>
          </w:tcPr>
          <w:p w14:paraId="5436D383">
            <w:pPr>
              <w:ind w:firstLine="420" w:firstLineChars="200"/>
              <w:jc w:val="both"/>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对不履行或不正确履行行政职责的行政机关及其工作人员，依据《中华人民共和国监察法》、《中华人民共和国退役军人保障法》、《行政机关公务员处分条例》、</w:t>
            </w:r>
            <w:r>
              <w:rPr>
                <w:rFonts w:hint="eastAsia" w:ascii="仿宋_GB2312" w:hAnsi="仿宋_GB2312" w:eastAsia="仿宋_GB2312" w:cs="仿宋_GB2312"/>
                <w:b w:val="0"/>
                <w:bCs/>
                <w:color w:val="000000"/>
                <w:szCs w:val="21"/>
                <w:lang w:eastAsia="zh-CN"/>
              </w:rPr>
              <w:t>《烈士褒扬条例》、</w:t>
            </w:r>
            <w:r>
              <w:rPr>
                <w:rFonts w:hint="eastAsia" w:ascii="仿宋_GB2312" w:hAnsi="仿宋_GB2312" w:eastAsia="仿宋_GB2312" w:cs="仿宋_GB2312"/>
                <w:b w:val="0"/>
                <w:bCs/>
                <w:color w:val="000000"/>
                <w:szCs w:val="21"/>
              </w:rPr>
              <w:t>《四川省行政执法监督条例》《四川省行政审批违法违纪行为责任追究办法》等法律法规规章的相关规定追究相应的责任。</w:t>
            </w:r>
          </w:p>
        </w:tc>
      </w:tr>
      <w:tr w14:paraId="373C7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7" w:hRule="atLeast"/>
        </w:trPr>
        <w:tc>
          <w:tcPr>
            <w:tcW w:w="1480" w:type="dxa"/>
            <w:noWrap w:val="0"/>
            <w:vAlign w:val="center"/>
          </w:tcPr>
          <w:p w14:paraId="466E616A">
            <w:pPr>
              <w:jc w:val="center"/>
              <w:rPr>
                <w:rFonts w:hint="default" w:ascii="黑体" w:hAnsi="黑体" w:eastAsia="黑体" w:cs="黑体"/>
                <w:b w:val="0"/>
                <w:bCs/>
                <w:szCs w:val="21"/>
                <w:lang w:val="en-US" w:eastAsia="zh-CN"/>
              </w:rPr>
            </w:pPr>
            <w:r>
              <w:rPr>
                <w:rFonts w:hint="default" w:ascii="黑体" w:hAnsi="黑体" w:eastAsia="黑体" w:cs="黑体"/>
                <w:b w:val="0"/>
                <w:bCs/>
                <w:szCs w:val="21"/>
                <w:lang w:val="en-US" w:eastAsia="zh-CN"/>
              </w:rPr>
              <w:t>监督电话</w:t>
            </w:r>
          </w:p>
        </w:tc>
        <w:tc>
          <w:tcPr>
            <w:tcW w:w="6600" w:type="dxa"/>
            <w:noWrap w:val="0"/>
            <w:vAlign w:val="center"/>
          </w:tcPr>
          <w:p w14:paraId="186E0B71">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544C856F">
      <w:pPr>
        <w:rPr>
          <w:rFonts w:hint="eastAsia" w:ascii="宋体"/>
          <w:b w:val="0"/>
          <w:bCs/>
          <w:color w:val="000000"/>
          <w:szCs w:val="21"/>
          <w:lang w:val="en-US" w:eastAsia="zh-CN"/>
        </w:rPr>
      </w:pPr>
    </w:p>
    <w:tbl>
      <w:tblPr>
        <w:tblStyle w:val="6"/>
        <w:tblW w:w="0" w:type="auto"/>
        <w:tblInd w:w="4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0"/>
        <w:gridCol w:w="6620"/>
      </w:tblGrid>
      <w:tr w14:paraId="77B90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18" w:hRule="atLeast"/>
        </w:trPr>
        <w:tc>
          <w:tcPr>
            <w:tcW w:w="1480" w:type="dxa"/>
            <w:noWrap w:val="0"/>
            <w:vAlign w:val="center"/>
          </w:tcPr>
          <w:p w14:paraId="0ECF652A">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20" w:type="dxa"/>
            <w:noWrap w:val="0"/>
            <w:vAlign w:val="center"/>
          </w:tcPr>
          <w:p w14:paraId="5626D399">
            <w:pPr>
              <w:jc w:val="center"/>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5</w:t>
            </w:r>
          </w:p>
        </w:tc>
      </w:tr>
      <w:tr w14:paraId="56800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480" w:type="dxa"/>
            <w:noWrap w:val="0"/>
            <w:vAlign w:val="center"/>
          </w:tcPr>
          <w:p w14:paraId="333B2935">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20" w:type="dxa"/>
            <w:noWrap w:val="0"/>
            <w:vAlign w:val="center"/>
          </w:tcPr>
          <w:p w14:paraId="4F9D07FA">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行政给付</w:t>
            </w:r>
          </w:p>
        </w:tc>
      </w:tr>
      <w:tr w14:paraId="7310FB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480" w:type="dxa"/>
            <w:noWrap w:val="0"/>
            <w:vAlign w:val="center"/>
          </w:tcPr>
          <w:p w14:paraId="614E0405">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20" w:type="dxa"/>
            <w:noWrap w:val="0"/>
            <w:vAlign w:val="center"/>
          </w:tcPr>
          <w:p w14:paraId="3B5398BA">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退役士兵待安排工作期间生活费的给付</w:t>
            </w:r>
          </w:p>
        </w:tc>
      </w:tr>
      <w:tr w14:paraId="2E70C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480" w:type="dxa"/>
            <w:noWrap w:val="0"/>
            <w:vAlign w:val="center"/>
          </w:tcPr>
          <w:p w14:paraId="6AD0E53A">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20" w:type="dxa"/>
            <w:noWrap w:val="0"/>
            <w:vAlign w:val="center"/>
          </w:tcPr>
          <w:p w14:paraId="771386D1">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退役士兵安置条例》第三十五条：安置地人民政府应当在接收退役士兵的6个月内，完成本年度安排退役士兵工作的任务。退役士兵待安排工作期间，安置地人民政府应当按照不低于当地最低生活水平的标准，按月发给生活补助费。</w:t>
            </w:r>
          </w:p>
        </w:tc>
      </w:tr>
      <w:tr w14:paraId="66029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480" w:type="dxa"/>
            <w:noWrap w:val="0"/>
            <w:vAlign w:val="center"/>
          </w:tcPr>
          <w:p w14:paraId="41165C0E">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20" w:type="dxa"/>
            <w:noWrap w:val="0"/>
            <w:vAlign w:val="center"/>
          </w:tcPr>
          <w:p w14:paraId="16D1FD60">
            <w:pPr>
              <w:jc w:val="center"/>
              <w:rPr>
                <w:rFonts w:hint="eastAsia" w:ascii="仿宋_GB2312" w:hAnsi="仿宋_GB2312" w:eastAsia="仿宋_GB2312" w:cs="仿宋_GB2312"/>
                <w:b w:val="0"/>
                <w:bCs/>
                <w:color w:val="000000"/>
                <w:szCs w:val="21"/>
                <w:lang w:val="en-US" w:eastAsia="zh-CN"/>
              </w:rPr>
            </w:pPr>
            <w:r>
              <w:rPr>
                <w:rFonts w:hint="eastAsia" w:ascii="仿宋_GB2312" w:hAnsi="仿宋_GB2312" w:eastAsia="仿宋_GB2312" w:cs="仿宋_GB2312"/>
                <w:b w:val="0"/>
                <w:bCs/>
                <w:color w:val="000000"/>
                <w:szCs w:val="21"/>
                <w:lang w:val="en-US" w:eastAsia="zh-CN"/>
              </w:rPr>
              <w:t>安置就业科</w:t>
            </w:r>
          </w:p>
        </w:tc>
      </w:tr>
      <w:tr w14:paraId="42971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8" w:hRule="atLeast"/>
        </w:trPr>
        <w:tc>
          <w:tcPr>
            <w:tcW w:w="1480" w:type="dxa"/>
            <w:noWrap w:val="0"/>
            <w:vAlign w:val="center"/>
          </w:tcPr>
          <w:p w14:paraId="0C1803D5">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20" w:type="dxa"/>
            <w:noWrap w:val="0"/>
            <w:vAlign w:val="center"/>
          </w:tcPr>
          <w:p w14:paraId="6C39DA1D">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1.受理责任：受理市本级当年度退役士兵待安排工作期间生活费给付。</w:t>
            </w:r>
          </w:p>
          <w:p w14:paraId="33831902">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2.审查责任：审核给付资金。</w:t>
            </w:r>
          </w:p>
          <w:p w14:paraId="4A1A6269">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3.决定责任：审核无误后，按规定办理给付。</w:t>
            </w:r>
          </w:p>
          <w:p w14:paraId="7E1C9FD1">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4.事后监管责任：监督按政策发放退役士兵待安排工作期间生活费的给付。</w:t>
            </w:r>
          </w:p>
          <w:p w14:paraId="49259A23">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5.其他责任：法律法规规章文件规定应当履行的其他责任。</w:t>
            </w:r>
          </w:p>
        </w:tc>
      </w:tr>
      <w:tr w14:paraId="062B9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8" w:hRule="atLeast"/>
        </w:trPr>
        <w:tc>
          <w:tcPr>
            <w:tcW w:w="1480" w:type="dxa"/>
            <w:noWrap w:val="0"/>
            <w:vAlign w:val="center"/>
          </w:tcPr>
          <w:p w14:paraId="3AD4CF0C">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20" w:type="dxa"/>
            <w:noWrap w:val="0"/>
            <w:vAlign w:val="center"/>
          </w:tcPr>
          <w:p w14:paraId="12AD3C47">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对不履行或不正确履行行政职责的行政机关及其工作人员，依据《中华人民共和国监察法》、《中华人民共和国退役军人保障法》、《行政机关公务员处分条例》、《退役士兵安置条例</w:t>
            </w:r>
            <w:r>
              <w:rPr>
                <w:rFonts w:hint="eastAsia" w:ascii="仿宋_GB2312" w:hAnsi="仿宋_GB2312" w:eastAsia="仿宋_GB2312" w:cs="仿宋_GB2312"/>
                <w:b w:val="0"/>
                <w:bCs/>
                <w:color w:val="000000"/>
                <w:szCs w:val="21"/>
                <w:lang w:eastAsia="zh-CN"/>
              </w:rPr>
              <w:t>》</w:t>
            </w:r>
            <w:r>
              <w:rPr>
                <w:rFonts w:hint="eastAsia" w:ascii="仿宋_GB2312" w:hAnsi="仿宋_GB2312" w:eastAsia="仿宋_GB2312" w:cs="仿宋_GB2312"/>
                <w:b w:val="0"/>
                <w:bCs/>
                <w:color w:val="000000"/>
                <w:szCs w:val="21"/>
              </w:rPr>
              <w:t>、《四川省行政执法监督条例》、《四川省行政审批违法违纪行为责任追究办法》等法律法规规章的相关规定追究相应的责任。</w:t>
            </w:r>
          </w:p>
        </w:tc>
      </w:tr>
      <w:tr w14:paraId="21132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480" w:type="dxa"/>
            <w:noWrap w:val="0"/>
            <w:vAlign w:val="center"/>
          </w:tcPr>
          <w:p w14:paraId="08AD619F">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20" w:type="dxa"/>
            <w:noWrap w:val="0"/>
            <w:vAlign w:val="center"/>
          </w:tcPr>
          <w:p w14:paraId="07EF2127">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55248E4C">
      <w:pPr>
        <w:rPr>
          <w:b w:val="0"/>
          <w:bCs/>
        </w:rPr>
      </w:pPr>
    </w:p>
    <w:tbl>
      <w:tblPr>
        <w:tblStyle w:val="6"/>
        <w:tblW w:w="0" w:type="auto"/>
        <w:tblInd w:w="4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70"/>
        <w:gridCol w:w="6630"/>
      </w:tblGrid>
      <w:tr w14:paraId="30C06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8" w:hRule="atLeast"/>
        </w:trPr>
        <w:tc>
          <w:tcPr>
            <w:tcW w:w="1470" w:type="dxa"/>
            <w:noWrap w:val="0"/>
            <w:vAlign w:val="center"/>
          </w:tcPr>
          <w:p w14:paraId="12563663">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30" w:type="dxa"/>
            <w:noWrap w:val="0"/>
            <w:vAlign w:val="center"/>
          </w:tcPr>
          <w:p w14:paraId="11CFD0ED">
            <w:pPr>
              <w:jc w:val="center"/>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6</w:t>
            </w:r>
          </w:p>
        </w:tc>
      </w:tr>
      <w:tr w14:paraId="22EAB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470" w:type="dxa"/>
            <w:noWrap w:val="0"/>
            <w:vAlign w:val="center"/>
          </w:tcPr>
          <w:p w14:paraId="293C042B">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30" w:type="dxa"/>
            <w:noWrap w:val="0"/>
            <w:vAlign w:val="center"/>
          </w:tcPr>
          <w:p w14:paraId="5A185B2B">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行政奖励</w:t>
            </w:r>
          </w:p>
        </w:tc>
      </w:tr>
      <w:tr w14:paraId="4DC0A2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470" w:type="dxa"/>
            <w:noWrap w:val="0"/>
            <w:vAlign w:val="center"/>
          </w:tcPr>
          <w:p w14:paraId="330B7E23">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30" w:type="dxa"/>
            <w:noWrap w:val="0"/>
            <w:vAlign w:val="center"/>
          </w:tcPr>
          <w:p w14:paraId="0BD56F0E">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对在退役军人工作中作出突出贡献的单位和个人给予表彰、奖励</w:t>
            </w:r>
            <w:r>
              <w:rPr>
                <w:rFonts w:hint="eastAsia" w:ascii="仿宋_GB2312" w:hAnsi="仿宋_GB2312" w:eastAsia="仿宋_GB2312" w:cs="仿宋_GB2312"/>
                <w:b w:val="0"/>
                <w:bCs/>
                <w:color w:val="000000"/>
                <w:szCs w:val="21"/>
              </w:rPr>
              <w:pgNum/>
            </w:r>
          </w:p>
        </w:tc>
      </w:tr>
      <w:tr w14:paraId="049C3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470" w:type="dxa"/>
            <w:noWrap w:val="0"/>
            <w:vAlign w:val="center"/>
          </w:tcPr>
          <w:p w14:paraId="489EEFAB">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30" w:type="dxa"/>
            <w:noWrap w:val="0"/>
            <w:vAlign w:val="center"/>
          </w:tcPr>
          <w:p w14:paraId="6B1C7F67">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1.《中华人民共和国退役军人保障法》第十一条：对在退役军人保障工作中做出突出贡献的单位和个人，按照国家有关规定给予表彰、奖励。</w:t>
            </w:r>
          </w:p>
          <w:p w14:paraId="1069BED7">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2.《退役士兵安置条例》（2011年10月国务院、中央军委令第608号）第七条：对在退役士兵安置工作中作出突出贡献的单位和个人，按照国家有关规定给予表彰、奖励。</w:t>
            </w:r>
            <w:r>
              <w:rPr>
                <w:rFonts w:hint="eastAsia" w:ascii="仿宋_GB2312" w:hAnsi="仿宋_GB2312" w:eastAsia="仿宋_GB2312" w:cs="仿宋_GB2312"/>
                <w:b w:val="0"/>
                <w:bCs/>
                <w:color w:val="000000"/>
                <w:szCs w:val="21"/>
              </w:rPr>
              <w:br w:type="textWrapping"/>
            </w:r>
            <w:r>
              <w:rPr>
                <w:rFonts w:hint="eastAsia" w:ascii="仿宋_GB2312" w:hAnsi="仿宋_GB2312" w:eastAsia="仿宋_GB2312" w:cs="仿宋_GB2312"/>
                <w:b w:val="0"/>
                <w:bCs/>
                <w:color w:val="000000"/>
                <w:szCs w:val="21"/>
              </w:rPr>
              <w:t xml:space="preserve">    3.《军人抚恤优待条例》（2004年8月国务院、中央军委令第413号，2019年3月修订）第六条：各级人民政府对在军人抚恤优待工作中作出显著成绩的单位和个人，给予表彰和奖励。</w:t>
            </w:r>
            <w:r>
              <w:rPr>
                <w:rFonts w:hint="eastAsia" w:ascii="仿宋_GB2312" w:hAnsi="仿宋_GB2312" w:eastAsia="仿宋_GB2312" w:cs="仿宋_GB2312"/>
                <w:b w:val="0"/>
                <w:bCs/>
                <w:color w:val="000000"/>
                <w:szCs w:val="21"/>
              </w:rPr>
              <w:br w:type="textWrapping"/>
            </w:r>
            <w:r>
              <w:rPr>
                <w:rFonts w:hint="eastAsia" w:ascii="仿宋_GB2312" w:hAnsi="仿宋_GB2312" w:eastAsia="仿宋_GB2312" w:cs="仿宋_GB2312"/>
                <w:b w:val="0"/>
                <w:bCs/>
                <w:color w:val="000000"/>
                <w:szCs w:val="21"/>
              </w:rPr>
              <w:t xml:space="preserve">    4.《烈士褒扬条例》（2011年7月国务院令第601号,2019年3月修订）第七条：对在烈士褒扬工作中做出显著成绩的单位和个人，按照国家有关规定给予表彰、奖励。</w:t>
            </w:r>
            <w:r>
              <w:rPr>
                <w:rFonts w:hint="eastAsia" w:ascii="仿宋_GB2312" w:hAnsi="仿宋_GB2312" w:eastAsia="仿宋_GB2312" w:cs="仿宋_GB2312"/>
                <w:b w:val="0"/>
                <w:bCs/>
                <w:color w:val="000000"/>
                <w:szCs w:val="21"/>
              </w:rPr>
              <w:br w:type="textWrapping"/>
            </w:r>
            <w:r>
              <w:rPr>
                <w:rFonts w:hint="eastAsia" w:ascii="仿宋_GB2312" w:hAnsi="仿宋_GB2312" w:eastAsia="仿宋_GB2312" w:cs="仿宋_GB2312"/>
                <w:b w:val="0"/>
                <w:bCs/>
                <w:color w:val="000000"/>
                <w:szCs w:val="21"/>
              </w:rPr>
              <w:t xml:space="preserve">    5.《军队转业干部安置暂行办法》（中发〔2001〕3号）第十条：对在社会主义现代化建设中贡献突出的军队转业干部和在军队转业干部安置工作中做出显著成绩的单位、个人，国家和军队给予表彰奖励。</w:t>
            </w:r>
            <w:r>
              <w:rPr>
                <w:rFonts w:hint="eastAsia" w:ascii="仿宋_GB2312" w:hAnsi="仿宋_GB2312" w:eastAsia="仿宋_GB2312" w:cs="仿宋_GB2312"/>
                <w:b w:val="0"/>
                <w:bCs/>
                <w:color w:val="000000"/>
                <w:szCs w:val="21"/>
              </w:rPr>
              <w:br w:type="textWrapping"/>
            </w:r>
            <w:r>
              <w:rPr>
                <w:rFonts w:hint="eastAsia" w:ascii="仿宋_GB2312" w:hAnsi="仿宋_GB2312" w:eastAsia="仿宋_GB2312" w:cs="仿宋_GB2312"/>
                <w:b w:val="0"/>
                <w:bCs/>
                <w:color w:val="000000"/>
                <w:szCs w:val="21"/>
              </w:rPr>
              <w:t xml:space="preserve">    6.《军队离休退休干部服务管理办法》（2014年9月民政部公布）第五条：对在军休干部服务管理中做出显著成绩的单位和个人，按照规定给予表彰和奖励。</w:t>
            </w:r>
            <w:r>
              <w:rPr>
                <w:rFonts w:hint="eastAsia" w:ascii="仿宋_GB2312" w:hAnsi="仿宋_GB2312" w:eastAsia="仿宋_GB2312" w:cs="仿宋_GB2312"/>
                <w:b w:val="0"/>
                <w:bCs/>
                <w:color w:val="000000"/>
                <w:szCs w:val="21"/>
              </w:rPr>
              <w:pgNum/>
            </w:r>
          </w:p>
        </w:tc>
      </w:tr>
      <w:tr w14:paraId="3353D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470" w:type="dxa"/>
            <w:noWrap w:val="0"/>
            <w:vAlign w:val="center"/>
          </w:tcPr>
          <w:p w14:paraId="44BC97B5">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30" w:type="dxa"/>
            <w:noWrap w:val="0"/>
            <w:vAlign w:val="center"/>
          </w:tcPr>
          <w:p w14:paraId="21120D2A">
            <w:pPr>
              <w:jc w:val="center"/>
              <w:rPr>
                <w:rFonts w:hint="eastAsia" w:ascii="仿宋_GB2312" w:hAnsi="仿宋_GB2312" w:eastAsia="仿宋_GB2312" w:cs="仿宋_GB2312"/>
                <w:b w:val="0"/>
                <w:bCs/>
                <w:color w:val="000000"/>
                <w:szCs w:val="21"/>
                <w:lang w:val="en-US" w:eastAsia="zh-CN"/>
              </w:rPr>
            </w:pPr>
            <w:r>
              <w:rPr>
                <w:rFonts w:hint="eastAsia" w:ascii="仿宋_GB2312" w:hAnsi="仿宋_GB2312" w:eastAsia="仿宋_GB2312" w:cs="仿宋_GB2312"/>
                <w:b w:val="0"/>
                <w:bCs/>
                <w:color w:val="000000"/>
                <w:szCs w:val="21"/>
                <w:lang w:val="en-US" w:eastAsia="zh-CN"/>
              </w:rPr>
              <w:t>思想政治建设科</w:t>
            </w:r>
          </w:p>
        </w:tc>
      </w:tr>
      <w:tr w14:paraId="68682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5" w:hRule="atLeast"/>
        </w:trPr>
        <w:tc>
          <w:tcPr>
            <w:tcW w:w="1470" w:type="dxa"/>
            <w:noWrap w:val="0"/>
            <w:vAlign w:val="center"/>
          </w:tcPr>
          <w:p w14:paraId="1122ED71">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30" w:type="dxa"/>
            <w:noWrap w:val="0"/>
            <w:vAlign w:val="center"/>
          </w:tcPr>
          <w:p w14:paraId="7DAC606B">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1.制定方案责任：在征求有关部门和单位意见基础上，科学制定表彰工作方案。</w:t>
            </w:r>
          </w:p>
          <w:p w14:paraId="5C59FD3F">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2.组织推荐责任：严格按照表彰工作方案规定的条件、程序等，组织推荐工作。</w:t>
            </w:r>
          </w:p>
          <w:p w14:paraId="079825BA">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3.审核公示责任：对各地各部门推荐人选进行审核，并按要求在一定范围内组织不少于5个工作日的公示。</w:t>
            </w:r>
          </w:p>
          <w:p w14:paraId="6419E560">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4.表彰责任：按照程序报经批准后予以表彰。</w:t>
            </w:r>
          </w:p>
          <w:p w14:paraId="1745F36D">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5.其他责任：法律法规规章文件规定应履行的其他责任</w:t>
            </w:r>
            <w:r>
              <w:rPr>
                <w:rFonts w:hint="eastAsia" w:ascii="仿宋_GB2312" w:hAnsi="仿宋_GB2312" w:eastAsia="仿宋_GB2312" w:cs="仿宋_GB2312"/>
                <w:b w:val="0"/>
                <w:bCs/>
                <w:color w:val="333333"/>
                <w:spacing w:val="0"/>
                <w:sz w:val="24"/>
                <w:szCs w:val="24"/>
                <w:shd w:val="clear" w:color="auto" w:fill="FFFFFF"/>
              </w:rPr>
              <w:t>。</w:t>
            </w:r>
            <w:r>
              <w:rPr>
                <w:rFonts w:hint="eastAsia" w:ascii="仿宋_GB2312" w:hAnsi="仿宋_GB2312" w:eastAsia="仿宋_GB2312" w:cs="仿宋_GB2312"/>
                <w:b w:val="0"/>
                <w:bCs/>
              </w:rPr>
              <w:pgNum/>
            </w:r>
          </w:p>
        </w:tc>
      </w:tr>
      <w:tr w14:paraId="7B9D8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7" w:hRule="atLeast"/>
        </w:trPr>
        <w:tc>
          <w:tcPr>
            <w:tcW w:w="1470" w:type="dxa"/>
            <w:noWrap w:val="0"/>
            <w:vAlign w:val="center"/>
          </w:tcPr>
          <w:p w14:paraId="000AFF2A">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30" w:type="dxa"/>
            <w:noWrap w:val="0"/>
            <w:vAlign w:val="center"/>
          </w:tcPr>
          <w:p w14:paraId="60278B7E">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对不履行或不正确履行行政职责的行政机关及其工作人员，依据《中华人民共和国监察法》、《中华人民共和国退役军人保障法》、《行政机关公务员处分条例》、《退役士兵安置条例》、《军人抚恤优待条例》、《烈士褒扬条例》、《四川省行政执法监督条例》、《军队转业干部安置暂行办法》、《军队离休退休干部服务管理办法》、《四川省行政审批违法违纪行为责任追究办法》等法律法规规章的相关规定追究相应的责任。</w:t>
            </w:r>
          </w:p>
        </w:tc>
      </w:tr>
      <w:tr w14:paraId="1B6D3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470" w:type="dxa"/>
            <w:noWrap w:val="0"/>
            <w:vAlign w:val="center"/>
          </w:tcPr>
          <w:p w14:paraId="0352160D">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30" w:type="dxa"/>
            <w:noWrap w:val="0"/>
            <w:vAlign w:val="center"/>
          </w:tcPr>
          <w:p w14:paraId="54CD5052">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252EE0B7">
      <w:pPr>
        <w:rPr>
          <w:b w:val="0"/>
          <w:bCs/>
        </w:rPr>
      </w:pPr>
    </w:p>
    <w:tbl>
      <w:tblPr>
        <w:tblStyle w:val="6"/>
        <w:tblW w:w="0" w:type="auto"/>
        <w:tblInd w:w="4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97"/>
        <w:gridCol w:w="6610"/>
      </w:tblGrid>
      <w:tr w14:paraId="369EE9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497" w:type="dxa"/>
            <w:noWrap w:val="0"/>
            <w:vAlign w:val="center"/>
          </w:tcPr>
          <w:p w14:paraId="4E5FBF2B">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10" w:type="dxa"/>
            <w:noWrap w:val="0"/>
            <w:vAlign w:val="center"/>
          </w:tcPr>
          <w:p w14:paraId="4AFAFB53">
            <w:pPr>
              <w:jc w:val="center"/>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7</w:t>
            </w:r>
          </w:p>
        </w:tc>
      </w:tr>
      <w:tr w14:paraId="31FD5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497" w:type="dxa"/>
            <w:noWrap w:val="0"/>
            <w:vAlign w:val="center"/>
          </w:tcPr>
          <w:p w14:paraId="0CC52341">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10" w:type="dxa"/>
            <w:noWrap w:val="0"/>
            <w:vAlign w:val="center"/>
          </w:tcPr>
          <w:p w14:paraId="28DC5686">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行政奖励</w:t>
            </w:r>
          </w:p>
        </w:tc>
      </w:tr>
      <w:tr w14:paraId="65991E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497" w:type="dxa"/>
            <w:noWrap w:val="0"/>
            <w:vAlign w:val="center"/>
          </w:tcPr>
          <w:p w14:paraId="0DCBBF77">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10" w:type="dxa"/>
            <w:noWrap w:val="0"/>
            <w:vAlign w:val="center"/>
          </w:tcPr>
          <w:p w14:paraId="2A8B12DE">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对在社会主义现代化建设中做出突出贡献的退役军人予以表彰奖励</w:t>
            </w:r>
          </w:p>
        </w:tc>
      </w:tr>
      <w:tr w14:paraId="337ACF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497" w:type="dxa"/>
            <w:noWrap w:val="0"/>
            <w:vAlign w:val="center"/>
          </w:tcPr>
          <w:p w14:paraId="457DA369">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10" w:type="dxa"/>
            <w:noWrap w:val="0"/>
            <w:vAlign w:val="center"/>
          </w:tcPr>
          <w:p w14:paraId="4B4161D5">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1.《中华人民共和国退役军人保障法》第五十七条：“国家建立退役军人荣誉激励机制，对在社会主义现代化建设中做出突出贡献的退役军人予以表彰、奖励。退役军人服现役期间获得表彰、奖励的，退役后按照国家有关规定享受相应待遇。”</w:t>
            </w:r>
            <w:r>
              <w:rPr>
                <w:rFonts w:hint="eastAsia" w:ascii="仿宋_GB2312" w:hAnsi="仿宋_GB2312" w:eastAsia="仿宋_GB2312" w:cs="仿宋_GB2312"/>
                <w:b w:val="0"/>
                <w:bCs/>
                <w:color w:val="000000"/>
                <w:szCs w:val="21"/>
              </w:rPr>
              <w:pgNum/>
            </w:r>
          </w:p>
          <w:p w14:paraId="03A2799A">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2.《军队转业干部安置暂行办法》（中发〔2001〕3号）第十条：对在社会主义现代化建设中贡献突出的军队转业干部和在军队转业干部安置工作中做出显著成绩的单位、个人，国家和军队给予表彰奖励。</w:t>
            </w:r>
          </w:p>
        </w:tc>
      </w:tr>
      <w:tr w14:paraId="445F2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497" w:type="dxa"/>
            <w:noWrap w:val="0"/>
            <w:vAlign w:val="center"/>
          </w:tcPr>
          <w:p w14:paraId="31907B8A">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10" w:type="dxa"/>
            <w:noWrap w:val="0"/>
            <w:vAlign w:val="center"/>
          </w:tcPr>
          <w:p w14:paraId="63870B79">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lang w:val="en-US" w:eastAsia="zh-CN"/>
              </w:rPr>
              <w:t>思想政治建设科</w:t>
            </w:r>
          </w:p>
        </w:tc>
      </w:tr>
      <w:tr w14:paraId="73444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5" w:hRule="atLeast"/>
        </w:trPr>
        <w:tc>
          <w:tcPr>
            <w:tcW w:w="1497" w:type="dxa"/>
            <w:noWrap w:val="0"/>
            <w:vAlign w:val="center"/>
          </w:tcPr>
          <w:p w14:paraId="76BB2804">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10" w:type="dxa"/>
            <w:noWrap w:val="0"/>
            <w:vAlign w:val="center"/>
          </w:tcPr>
          <w:p w14:paraId="4621382C">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1.制定方案责任：在征求有关部门和单位意见基础上，科学制定表彰工作方案。</w:t>
            </w:r>
          </w:p>
          <w:p w14:paraId="1AB2DA19">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2.组织推荐责任：严格按照表彰工作方案规定的条件、程序等，组织推荐工作。</w:t>
            </w:r>
          </w:p>
          <w:p w14:paraId="66A6F47E">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3.审核公示责任：对各地各部门推荐人选进行审核，并按要求在一定范围内组织不少于5个工作日的公示。</w:t>
            </w:r>
          </w:p>
          <w:p w14:paraId="0840227B">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4.表彰责任：按照程序报经批准后予以表彰。</w:t>
            </w:r>
          </w:p>
          <w:p w14:paraId="610706C2">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5.其他责任：法律法规规章文件规定应履行的其他责任</w:t>
            </w:r>
            <w:r>
              <w:rPr>
                <w:rFonts w:hint="eastAsia" w:ascii="仿宋_GB2312" w:hAnsi="仿宋_GB2312" w:eastAsia="仿宋_GB2312" w:cs="仿宋_GB2312"/>
                <w:b w:val="0"/>
                <w:bCs/>
                <w:color w:val="333333"/>
                <w:spacing w:val="0"/>
                <w:sz w:val="24"/>
                <w:szCs w:val="24"/>
                <w:shd w:val="clear" w:color="auto" w:fill="FFFFFF"/>
              </w:rPr>
              <w:t>。</w:t>
            </w:r>
            <w:r>
              <w:rPr>
                <w:rFonts w:hint="eastAsia" w:ascii="仿宋_GB2312" w:hAnsi="仿宋_GB2312" w:eastAsia="仿宋_GB2312" w:cs="仿宋_GB2312"/>
                <w:b w:val="0"/>
                <w:bCs/>
              </w:rPr>
              <w:pgNum/>
            </w:r>
          </w:p>
        </w:tc>
      </w:tr>
      <w:tr w14:paraId="58D9A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7" w:hRule="atLeast"/>
        </w:trPr>
        <w:tc>
          <w:tcPr>
            <w:tcW w:w="1497" w:type="dxa"/>
            <w:noWrap w:val="0"/>
            <w:vAlign w:val="center"/>
          </w:tcPr>
          <w:p w14:paraId="5E4A00B3">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10" w:type="dxa"/>
            <w:noWrap w:val="0"/>
            <w:vAlign w:val="center"/>
          </w:tcPr>
          <w:p w14:paraId="1E961338">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对不履行或不正确履行行政职责的行政机关及其工作人员，依据《中华人民共和国监察法》、《中华人民共和国退役军人保障法》、《四川省行政执法监督条例》、《军队转业干部安置暂行办法》、《四川省行政审批违法违纪行为责任追究办法》等法律法规规章的相关规定追究相应的责任。</w:t>
            </w:r>
          </w:p>
        </w:tc>
      </w:tr>
      <w:tr w14:paraId="16D6F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3" w:hRule="atLeast"/>
        </w:trPr>
        <w:tc>
          <w:tcPr>
            <w:tcW w:w="1497" w:type="dxa"/>
            <w:noWrap w:val="0"/>
            <w:vAlign w:val="center"/>
          </w:tcPr>
          <w:p w14:paraId="7D1A3F22">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10" w:type="dxa"/>
            <w:noWrap w:val="0"/>
            <w:vAlign w:val="center"/>
          </w:tcPr>
          <w:p w14:paraId="144D9A62">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4156ACA0">
      <w:pPr>
        <w:rPr>
          <w:b w:val="0"/>
          <w:bCs/>
        </w:rPr>
      </w:pPr>
    </w:p>
    <w:tbl>
      <w:tblPr>
        <w:tblStyle w:val="6"/>
        <w:tblW w:w="0" w:type="auto"/>
        <w:tblInd w:w="4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7"/>
        <w:gridCol w:w="6620"/>
      </w:tblGrid>
      <w:tr w14:paraId="34ED6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507" w:type="dxa"/>
            <w:noWrap w:val="0"/>
            <w:vAlign w:val="center"/>
          </w:tcPr>
          <w:p w14:paraId="41C0F6F7">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序号</w:t>
            </w:r>
          </w:p>
        </w:tc>
        <w:tc>
          <w:tcPr>
            <w:tcW w:w="6620" w:type="dxa"/>
            <w:noWrap w:val="0"/>
            <w:vAlign w:val="center"/>
          </w:tcPr>
          <w:p w14:paraId="316BFF41">
            <w:pPr>
              <w:jc w:val="center"/>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lang w:val="en-US" w:eastAsia="zh-CN"/>
              </w:rPr>
              <w:t>8</w:t>
            </w:r>
          </w:p>
        </w:tc>
      </w:tr>
      <w:tr w14:paraId="12B91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507" w:type="dxa"/>
            <w:noWrap w:val="0"/>
            <w:vAlign w:val="center"/>
          </w:tcPr>
          <w:p w14:paraId="7872173C">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权力类型</w:t>
            </w:r>
          </w:p>
        </w:tc>
        <w:tc>
          <w:tcPr>
            <w:tcW w:w="6620" w:type="dxa"/>
            <w:noWrap w:val="0"/>
            <w:vAlign w:val="center"/>
          </w:tcPr>
          <w:p w14:paraId="00B308D2">
            <w:pPr>
              <w:jc w:val="center"/>
              <w:rPr>
                <w:rFonts w:hint="eastAsia" w:ascii="仿宋_GB2312" w:hAnsi="仿宋_GB2312" w:eastAsia="仿宋_GB2312" w:cs="仿宋_GB2312"/>
                <w:b w:val="0"/>
                <w:bCs/>
                <w:color w:val="000000"/>
                <w:szCs w:val="21"/>
                <w:lang w:eastAsia="zh-CN"/>
              </w:rPr>
            </w:pPr>
            <w:r>
              <w:rPr>
                <w:rFonts w:hint="eastAsia" w:ascii="仿宋_GB2312" w:hAnsi="仿宋_GB2312" w:eastAsia="仿宋_GB2312" w:cs="仿宋_GB2312"/>
                <w:b w:val="0"/>
                <w:bCs/>
                <w:color w:val="000000"/>
                <w:szCs w:val="21"/>
              </w:rPr>
              <w:t>行政</w:t>
            </w:r>
            <w:r>
              <w:rPr>
                <w:rFonts w:hint="eastAsia" w:ascii="仿宋_GB2312" w:hAnsi="仿宋_GB2312" w:eastAsia="仿宋_GB2312" w:cs="仿宋_GB2312"/>
                <w:b w:val="0"/>
                <w:bCs/>
                <w:color w:val="000000"/>
                <w:szCs w:val="21"/>
                <w:lang w:eastAsia="zh-CN"/>
              </w:rPr>
              <w:t>检查</w:t>
            </w:r>
          </w:p>
        </w:tc>
      </w:tr>
      <w:tr w14:paraId="5E851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507" w:type="dxa"/>
            <w:noWrap w:val="0"/>
            <w:vAlign w:val="center"/>
          </w:tcPr>
          <w:p w14:paraId="00F91C8D">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权力项目名称</w:t>
            </w:r>
          </w:p>
        </w:tc>
        <w:tc>
          <w:tcPr>
            <w:tcW w:w="6620" w:type="dxa"/>
            <w:noWrap w:val="0"/>
            <w:vAlign w:val="center"/>
          </w:tcPr>
          <w:p w14:paraId="598D52AF">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监督检查退役军人保障相关法律法规和政策措施落实情况</w:t>
            </w:r>
          </w:p>
        </w:tc>
      </w:tr>
      <w:tr w14:paraId="567C8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507" w:type="dxa"/>
            <w:noWrap w:val="0"/>
            <w:vAlign w:val="center"/>
          </w:tcPr>
          <w:p w14:paraId="39919E6B">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实施依据</w:t>
            </w:r>
          </w:p>
        </w:tc>
        <w:tc>
          <w:tcPr>
            <w:tcW w:w="6620" w:type="dxa"/>
            <w:noWrap w:val="0"/>
            <w:vAlign w:val="center"/>
          </w:tcPr>
          <w:p w14:paraId="5AA06250">
            <w:pPr>
              <w:ind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《中华人民共和国退役军人保障法》第</w:t>
            </w:r>
            <w:r>
              <w:rPr>
                <w:rFonts w:hint="eastAsia" w:ascii="仿宋_GB2312" w:hAnsi="仿宋_GB2312" w:eastAsia="仿宋_GB2312" w:cs="仿宋_GB2312"/>
                <w:b w:val="0"/>
                <w:bCs/>
                <w:color w:val="000000"/>
                <w:szCs w:val="21"/>
                <w:lang w:eastAsia="zh-CN"/>
              </w:rPr>
              <w:t>七十一</w:t>
            </w:r>
            <w:r>
              <w:rPr>
                <w:rFonts w:hint="eastAsia" w:ascii="仿宋_GB2312" w:hAnsi="仿宋_GB2312" w:eastAsia="仿宋_GB2312" w:cs="仿宋_GB2312"/>
                <w:b w:val="0"/>
                <w:bCs/>
                <w:color w:val="000000"/>
                <w:szCs w:val="21"/>
              </w:rPr>
              <w:t>条：“县级以上人民政府退役军人工作主管部门应当依法指导、督促有关部门和单位做好退役安置、教育培训、就业创业、抚恤优待、褒扬激励、拥军优属等工作，监督检查退役军人保障相关法律法规和政策措施落实情况，推进解决退役军人保障工作中存在的问题。”</w:t>
            </w:r>
            <w:r>
              <w:rPr>
                <w:rFonts w:hint="eastAsia" w:ascii="仿宋_GB2312" w:hAnsi="仿宋_GB2312" w:eastAsia="仿宋_GB2312" w:cs="仿宋_GB2312"/>
                <w:b w:val="0"/>
                <w:bCs/>
                <w:color w:val="000000"/>
                <w:szCs w:val="21"/>
              </w:rPr>
              <w:pgNum/>
            </w:r>
          </w:p>
        </w:tc>
      </w:tr>
      <w:tr w14:paraId="45A25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507" w:type="dxa"/>
            <w:noWrap w:val="0"/>
            <w:vAlign w:val="center"/>
          </w:tcPr>
          <w:p w14:paraId="0009226B">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责任主体</w:t>
            </w:r>
          </w:p>
        </w:tc>
        <w:tc>
          <w:tcPr>
            <w:tcW w:w="6620" w:type="dxa"/>
            <w:noWrap w:val="0"/>
            <w:vAlign w:val="center"/>
          </w:tcPr>
          <w:p w14:paraId="36ECB508">
            <w:pPr>
              <w:jc w:val="center"/>
              <w:rPr>
                <w:rFonts w:hint="default" w:ascii="仿宋_GB2312" w:hAnsi="仿宋_GB2312" w:eastAsia="仿宋_GB2312" w:cs="仿宋_GB2312"/>
                <w:b w:val="0"/>
                <w:bCs/>
                <w:color w:val="000000"/>
                <w:szCs w:val="21"/>
                <w:lang w:val="en-US" w:eastAsia="zh-CN"/>
              </w:rPr>
            </w:pPr>
            <w:r>
              <w:rPr>
                <w:rFonts w:hint="eastAsia" w:ascii="仿宋_GB2312" w:hAnsi="仿宋_GB2312" w:eastAsia="仿宋_GB2312" w:cs="仿宋_GB2312"/>
                <w:b w:val="0"/>
                <w:bCs/>
                <w:color w:val="000000"/>
                <w:szCs w:val="21"/>
                <w:lang w:val="en-US" w:eastAsia="zh-CN"/>
              </w:rPr>
              <w:t>权益维护与法规科、</w:t>
            </w:r>
            <w:r>
              <w:rPr>
                <w:rFonts w:hint="eastAsia" w:ascii="仿宋_GB2312" w:hAnsi="仿宋_GB2312" w:eastAsia="仿宋_GB2312" w:cs="仿宋_GB2312"/>
                <w:b w:val="0"/>
                <w:bCs/>
                <w:color w:val="000000"/>
                <w:szCs w:val="21"/>
              </w:rPr>
              <w:t>办公室</w:t>
            </w:r>
            <w:r>
              <w:rPr>
                <w:rFonts w:hint="eastAsia" w:ascii="仿宋_GB2312" w:hAnsi="仿宋_GB2312" w:eastAsia="仿宋_GB2312" w:cs="仿宋_GB2312"/>
                <w:b w:val="0"/>
                <w:bCs/>
                <w:color w:val="000000"/>
                <w:szCs w:val="21"/>
                <w:lang w:eastAsia="zh-CN"/>
              </w:rPr>
              <w:t>、</w:t>
            </w:r>
            <w:r>
              <w:rPr>
                <w:rFonts w:hint="eastAsia" w:ascii="仿宋_GB2312" w:hAnsi="仿宋_GB2312" w:eastAsia="仿宋_GB2312" w:cs="仿宋_GB2312"/>
                <w:b w:val="0"/>
                <w:bCs/>
                <w:color w:val="000000"/>
                <w:szCs w:val="21"/>
                <w:lang w:val="en-US" w:eastAsia="zh-CN"/>
              </w:rPr>
              <w:t>秘书科</w:t>
            </w:r>
          </w:p>
        </w:tc>
      </w:tr>
      <w:tr w14:paraId="765D0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5" w:hRule="atLeast"/>
        </w:trPr>
        <w:tc>
          <w:tcPr>
            <w:tcW w:w="1507" w:type="dxa"/>
            <w:noWrap w:val="0"/>
            <w:vAlign w:val="center"/>
          </w:tcPr>
          <w:p w14:paraId="2017DBD2">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责任事项</w:t>
            </w:r>
          </w:p>
        </w:tc>
        <w:tc>
          <w:tcPr>
            <w:tcW w:w="6620" w:type="dxa"/>
            <w:noWrap w:val="0"/>
            <w:vAlign w:val="center"/>
          </w:tcPr>
          <w:p w14:paraId="5457D82C">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1.准备责任</w:t>
            </w:r>
            <w:r>
              <w:rPr>
                <w:rFonts w:hint="eastAsia" w:ascii="仿宋_GB2312" w:hAnsi="仿宋_GB2312" w:eastAsia="仿宋_GB2312" w:cs="仿宋_GB2312"/>
                <w:b w:val="0"/>
                <w:bCs/>
                <w:color w:val="000000"/>
                <w:szCs w:val="21"/>
                <w:lang w:eastAsia="zh-CN"/>
              </w:rPr>
              <w:t>：</w:t>
            </w:r>
            <w:r>
              <w:rPr>
                <w:rFonts w:hint="eastAsia" w:ascii="仿宋_GB2312" w:hAnsi="仿宋_GB2312" w:eastAsia="仿宋_GB2312" w:cs="仿宋_GB2312"/>
                <w:b w:val="0"/>
                <w:bCs/>
                <w:color w:val="000000"/>
                <w:szCs w:val="21"/>
              </w:rPr>
              <w:t>制定检查计划和方案，确定检查名称、目的、内容、范围、对象、时间、方法、实施单位等。</w:t>
            </w:r>
          </w:p>
          <w:p w14:paraId="4EB82B55">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2.检查责任：组织监督检查人员，按照法定程序进行检查。检查结束后形成书面监督检查报告。</w:t>
            </w:r>
          </w:p>
          <w:p w14:paraId="718783DF">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3.处理责任：对违反相关规定的责令其改正。</w:t>
            </w:r>
          </w:p>
          <w:p w14:paraId="33BF626E">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4.移送责任:对涉及其他违法行为移交相关部门或司法机关。</w:t>
            </w:r>
          </w:p>
          <w:p w14:paraId="0C7B8E7A">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5.监管责任：按照规定做好整改落实的监督。</w:t>
            </w:r>
          </w:p>
          <w:p w14:paraId="393ADDA0">
            <w:pPr>
              <w:ind w:left="0" w:firstLine="419"/>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6. 法律法规规章规定应履行的其他责任。</w:t>
            </w:r>
            <w:r>
              <w:rPr>
                <w:rFonts w:hint="eastAsia" w:ascii="仿宋_GB2312" w:hAnsi="仿宋_GB2312" w:eastAsia="仿宋_GB2312" w:cs="仿宋_GB2312"/>
                <w:b w:val="0"/>
                <w:bCs/>
              </w:rPr>
              <w:pgNum/>
            </w:r>
          </w:p>
        </w:tc>
      </w:tr>
      <w:tr w14:paraId="7F161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7" w:hRule="atLeast"/>
        </w:trPr>
        <w:tc>
          <w:tcPr>
            <w:tcW w:w="1507" w:type="dxa"/>
            <w:noWrap w:val="0"/>
            <w:vAlign w:val="center"/>
          </w:tcPr>
          <w:p w14:paraId="149560AD">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追责情形</w:t>
            </w:r>
          </w:p>
        </w:tc>
        <w:tc>
          <w:tcPr>
            <w:tcW w:w="6620" w:type="dxa"/>
            <w:noWrap w:val="0"/>
            <w:vAlign w:val="center"/>
          </w:tcPr>
          <w:p w14:paraId="42812E06">
            <w:pP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color w:val="000000"/>
                <w:szCs w:val="21"/>
              </w:rPr>
              <w:t xml:space="preserve">    对不履行或不正确履行行政职责的行政机关及其工作人员，依据《中华人民共和国监察法》、《中华人民共和国退役军人保障法》、《四川省行政执法监督条例》等法律法规规章的相关规定追究相应的责任。</w:t>
            </w:r>
          </w:p>
        </w:tc>
      </w:tr>
      <w:tr w14:paraId="3CF8B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3" w:hRule="atLeast"/>
        </w:trPr>
        <w:tc>
          <w:tcPr>
            <w:tcW w:w="1507" w:type="dxa"/>
            <w:noWrap w:val="0"/>
            <w:vAlign w:val="center"/>
          </w:tcPr>
          <w:p w14:paraId="34256624">
            <w:pPr>
              <w:jc w:val="center"/>
              <w:rPr>
                <w:rFonts w:hint="eastAsia" w:ascii="黑体" w:hAnsi="黑体" w:eastAsia="黑体" w:cs="黑体"/>
                <w:b w:val="0"/>
                <w:bCs/>
                <w:szCs w:val="21"/>
                <w:lang w:val="en-US" w:eastAsia="zh-CN"/>
              </w:rPr>
            </w:pPr>
            <w:r>
              <w:rPr>
                <w:rFonts w:hint="eastAsia" w:ascii="黑体" w:hAnsi="黑体" w:eastAsia="黑体" w:cs="黑体"/>
                <w:b w:val="0"/>
                <w:bCs/>
                <w:szCs w:val="21"/>
                <w:lang w:val="en-US" w:eastAsia="zh-CN"/>
              </w:rPr>
              <w:t>监督电话</w:t>
            </w:r>
          </w:p>
        </w:tc>
        <w:tc>
          <w:tcPr>
            <w:tcW w:w="6620" w:type="dxa"/>
            <w:noWrap w:val="0"/>
            <w:vAlign w:val="center"/>
          </w:tcPr>
          <w:p w14:paraId="45E35D38">
            <w:pPr>
              <w:jc w:val="center"/>
              <w:rPr>
                <w:rFonts w:hint="eastAsia" w:ascii="仿宋_GB2312" w:hAnsi="仿宋_GB2312" w:eastAsia="仿宋_GB2312" w:cs="仿宋_GB2312"/>
                <w:b w:val="0"/>
                <w:bCs/>
                <w:color w:val="000000"/>
                <w:szCs w:val="21"/>
              </w:rPr>
            </w:pPr>
            <w:r>
              <w:rPr>
                <w:rFonts w:hint="eastAsia" w:ascii="仿宋_GB2312" w:hAnsi="仿宋_GB2312" w:eastAsia="仿宋_GB2312" w:cs="仿宋_GB2312"/>
                <w:b w:val="0"/>
                <w:bCs/>
                <w:sz w:val="19"/>
                <w:szCs w:val="19"/>
              </w:rPr>
              <w:t>0</w:t>
            </w:r>
            <w:r>
              <w:rPr>
                <w:rFonts w:hint="eastAsia" w:ascii="仿宋_GB2312" w:hAnsi="仿宋_GB2312" w:eastAsia="仿宋_GB2312" w:cs="仿宋_GB2312"/>
                <w:b w:val="0"/>
                <w:bCs/>
                <w:sz w:val="19"/>
                <w:szCs w:val="19"/>
                <w:lang w:val="en-US" w:eastAsia="zh-CN"/>
              </w:rPr>
              <w:t>839</w:t>
            </w:r>
            <w:r>
              <w:rPr>
                <w:rFonts w:hint="eastAsia" w:ascii="仿宋_GB2312" w:hAnsi="仿宋_GB2312" w:eastAsia="仿宋_GB2312" w:cs="仿宋_GB2312"/>
                <w:b w:val="0"/>
                <w:bCs/>
                <w:sz w:val="19"/>
                <w:szCs w:val="19"/>
              </w:rPr>
              <w:t>－3282238</w:t>
            </w:r>
          </w:p>
        </w:tc>
      </w:tr>
    </w:tbl>
    <w:p w14:paraId="060044AF">
      <w:pPr>
        <w:rPr>
          <w:b w:val="0"/>
          <w:bCs/>
        </w:rPr>
      </w:pPr>
    </w:p>
    <w:tbl>
      <w:tblPr>
        <w:tblStyle w:val="6"/>
        <w:tblW w:w="0" w:type="auto"/>
        <w:tblInd w:w="4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17"/>
        <w:gridCol w:w="6620"/>
      </w:tblGrid>
      <w:tr w14:paraId="16E34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517" w:type="dxa"/>
            <w:noWrap w:val="0"/>
            <w:vAlign w:val="center"/>
          </w:tcPr>
          <w:p w14:paraId="097657D5">
            <w:pPr>
              <w:ind w:left="46" w:leftChars="22"/>
              <w:jc w:val="center"/>
              <w:rPr>
                <w:rFonts w:hint="eastAsia" w:ascii="黑体" w:hAnsi="黑体" w:eastAsia="黑体" w:cs="黑体"/>
                <w:bCs/>
                <w:color w:val="000000"/>
                <w:szCs w:val="21"/>
              </w:rPr>
            </w:pPr>
            <w:r>
              <w:rPr>
                <w:rFonts w:hint="eastAsia" w:ascii="黑体" w:hAnsi="黑体" w:eastAsia="黑体" w:cs="黑体"/>
                <w:bCs/>
                <w:color w:val="000000"/>
                <w:szCs w:val="21"/>
              </w:rPr>
              <w:t>序号</w:t>
            </w:r>
          </w:p>
        </w:tc>
        <w:tc>
          <w:tcPr>
            <w:tcW w:w="6620" w:type="dxa"/>
            <w:noWrap w:val="0"/>
            <w:vAlign w:val="center"/>
          </w:tcPr>
          <w:p w14:paraId="44E3CF7C">
            <w:pPr>
              <w:jc w:val="center"/>
              <w:rPr>
                <w:rFonts w:hint="eastAsia" w:ascii="仿宋_GB2312" w:hAnsi="仿宋_GB2312" w:eastAsia="仿宋_GB2312" w:cs="仿宋_GB2312"/>
                <w:bCs/>
                <w:color w:val="000000"/>
                <w:szCs w:val="21"/>
                <w:lang w:eastAsia="zh-CN"/>
              </w:rPr>
            </w:pPr>
            <w:r>
              <w:rPr>
                <w:rFonts w:hint="eastAsia" w:ascii="仿宋_GB2312" w:hAnsi="仿宋_GB2312" w:eastAsia="仿宋_GB2312" w:cs="仿宋_GB2312"/>
                <w:bCs/>
                <w:color w:val="000000"/>
                <w:szCs w:val="21"/>
                <w:lang w:val="en-US" w:eastAsia="zh-CN"/>
              </w:rPr>
              <w:t>9</w:t>
            </w:r>
          </w:p>
        </w:tc>
      </w:tr>
      <w:tr w14:paraId="65799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517" w:type="dxa"/>
            <w:noWrap w:val="0"/>
            <w:vAlign w:val="center"/>
          </w:tcPr>
          <w:p w14:paraId="2825C2BF">
            <w:pPr>
              <w:jc w:val="center"/>
              <w:rPr>
                <w:rFonts w:hint="eastAsia" w:ascii="黑体" w:hAnsi="黑体" w:eastAsia="黑体" w:cs="黑体"/>
                <w:bCs/>
                <w:color w:val="000000"/>
                <w:szCs w:val="21"/>
              </w:rPr>
            </w:pPr>
            <w:r>
              <w:rPr>
                <w:rFonts w:hint="eastAsia" w:ascii="黑体" w:hAnsi="黑体" w:eastAsia="黑体" w:cs="黑体"/>
                <w:bCs/>
                <w:color w:val="000000"/>
                <w:szCs w:val="21"/>
              </w:rPr>
              <w:t>权力类型</w:t>
            </w:r>
          </w:p>
        </w:tc>
        <w:tc>
          <w:tcPr>
            <w:tcW w:w="6620" w:type="dxa"/>
            <w:noWrap w:val="0"/>
            <w:vAlign w:val="center"/>
          </w:tcPr>
          <w:p w14:paraId="0506CFA5">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其他行政权力</w:t>
            </w:r>
          </w:p>
        </w:tc>
      </w:tr>
      <w:tr w14:paraId="69A7F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517" w:type="dxa"/>
            <w:noWrap w:val="0"/>
            <w:vAlign w:val="center"/>
          </w:tcPr>
          <w:p w14:paraId="49824697">
            <w:pPr>
              <w:jc w:val="center"/>
              <w:rPr>
                <w:rFonts w:hint="eastAsia" w:ascii="黑体" w:hAnsi="黑体" w:eastAsia="黑体" w:cs="黑体"/>
                <w:bCs/>
                <w:color w:val="000000"/>
                <w:szCs w:val="21"/>
              </w:rPr>
            </w:pPr>
            <w:r>
              <w:rPr>
                <w:rFonts w:hint="eastAsia" w:ascii="黑体" w:hAnsi="黑体" w:eastAsia="黑体" w:cs="黑体"/>
                <w:bCs/>
                <w:color w:val="000000"/>
                <w:szCs w:val="21"/>
              </w:rPr>
              <w:t>权力项目名称</w:t>
            </w:r>
          </w:p>
        </w:tc>
        <w:tc>
          <w:tcPr>
            <w:tcW w:w="6620" w:type="dxa"/>
            <w:noWrap w:val="0"/>
            <w:vAlign w:val="center"/>
          </w:tcPr>
          <w:p w14:paraId="437F0D8A">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由政府安排工作退役士兵和退出消防员、军队转业干部移交安置</w:t>
            </w:r>
          </w:p>
        </w:tc>
      </w:tr>
      <w:tr w14:paraId="08DBA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517" w:type="dxa"/>
            <w:noWrap w:val="0"/>
            <w:vAlign w:val="center"/>
          </w:tcPr>
          <w:p w14:paraId="7F8D9833">
            <w:pPr>
              <w:jc w:val="center"/>
              <w:rPr>
                <w:rFonts w:hint="eastAsia" w:ascii="黑体" w:hAnsi="黑体" w:eastAsia="黑体" w:cs="黑体"/>
                <w:bCs/>
                <w:color w:val="000000"/>
                <w:szCs w:val="21"/>
              </w:rPr>
            </w:pPr>
            <w:r>
              <w:rPr>
                <w:rFonts w:hint="eastAsia" w:ascii="黑体" w:hAnsi="黑体" w:eastAsia="黑体" w:cs="黑体"/>
                <w:bCs/>
                <w:color w:val="000000"/>
                <w:szCs w:val="21"/>
              </w:rPr>
              <w:t>实施依据</w:t>
            </w:r>
          </w:p>
        </w:tc>
        <w:tc>
          <w:tcPr>
            <w:tcW w:w="6620" w:type="dxa"/>
            <w:noWrap w:val="0"/>
            <w:vAlign w:val="center"/>
          </w:tcPr>
          <w:p w14:paraId="02DA4D82">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1.《退役士兵安置条例》第五条：国务院退役士兵安置工作主管部门负责全国的退役士兵安置工作。县级以上地方人民政府退役士兵安置工作主管部门负责本行政区域的退役士兵安置工作。人民政府有关部门和军队有关部门应当在各自职责范围内做好退役士兵安置工作。</w:t>
            </w:r>
          </w:p>
          <w:p w14:paraId="5DC4566A">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第九条：退役士兵所在部队应当依照本条例的规定，将退役士兵移交安置地县级以上人民政府退役士兵安置工作主管部门。安置地县级以上人民政府退役士兵安置工作主管部门负责接收退役士兵。</w:t>
            </w:r>
          </w:p>
          <w:p w14:paraId="20F328F3">
            <w:pPr>
              <w:ind w:firstLine="420" w:firstLineChars="200"/>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2.《军队转业干部安置暂行办法》第四条：军队干部转业到地方工作，是国家和军队的一项重要制度。国家对军队转业干部实行计划分配和自主择业相结合的方式安置。计划分配的军队转业干部由党委、政府负责安排工作和职务；自主择业的军队转业干部由政府协助就业、发给退役金。</w:t>
            </w:r>
          </w:p>
        </w:tc>
      </w:tr>
      <w:tr w14:paraId="208AE6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517" w:type="dxa"/>
            <w:noWrap w:val="0"/>
            <w:vAlign w:val="center"/>
          </w:tcPr>
          <w:p w14:paraId="471AD5CA">
            <w:pPr>
              <w:jc w:val="center"/>
              <w:rPr>
                <w:rFonts w:hint="eastAsia" w:ascii="黑体" w:hAnsi="黑体" w:eastAsia="黑体" w:cs="黑体"/>
                <w:bCs/>
                <w:color w:val="000000"/>
                <w:szCs w:val="21"/>
              </w:rPr>
            </w:pPr>
            <w:r>
              <w:rPr>
                <w:rFonts w:hint="eastAsia" w:ascii="黑体" w:hAnsi="黑体" w:eastAsia="黑体" w:cs="黑体"/>
                <w:bCs/>
                <w:color w:val="000000"/>
                <w:szCs w:val="21"/>
              </w:rPr>
              <w:t>责任主体</w:t>
            </w:r>
          </w:p>
        </w:tc>
        <w:tc>
          <w:tcPr>
            <w:tcW w:w="6620" w:type="dxa"/>
            <w:noWrap w:val="0"/>
            <w:vAlign w:val="center"/>
          </w:tcPr>
          <w:p w14:paraId="75345690">
            <w:pPr>
              <w:jc w:val="center"/>
              <w:rPr>
                <w:rFonts w:hint="eastAsia" w:ascii="仿宋_GB2312" w:hAnsi="仿宋_GB2312" w:eastAsia="仿宋_GB2312" w:cs="仿宋_GB2312"/>
                <w:bCs/>
                <w:color w:val="000000"/>
                <w:szCs w:val="21"/>
                <w:lang w:eastAsia="zh-CN"/>
              </w:rPr>
            </w:pPr>
            <w:r>
              <w:rPr>
                <w:rFonts w:hint="eastAsia" w:ascii="仿宋_GB2312" w:hAnsi="仿宋_GB2312" w:eastAsia="仿宋_GB2312" w:cs="仿宋_GB2312"/>
                <w:bCs/>
                <w:color w:val="000000"/>
                <w:szCs w:val="21"/>
                <w:lang w:val="en-US" w:eastAsia="zh-CN"/>
              </w:rPr>
              <w:t>安置就业科</w:t>
            </w:r>
          </w:p>
        </w:tc>
      </w:tr>
      <w:tr w14:paraId="4B2559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5" w:hRule="atLeast"/>
        </w:trPr>
        <w:tc>
          <w:tcPr>
            <w:tcW w:w="1517" w:type="dxa"/>
            <w:noWrap w:val="0"/>
            <w:vAlign w:val="center"/>
          </w:tcPr>
          <w:p w14:paraId="53DE844D">
            <w:pPr>
              <w:jc w:val="center"/>
              <w:rPr>
                <w:rFonts w:hint="eastAsia" w:ascii="黑体" w:hAnsi="黑体" w:eastAsia="黑体" w:cs="黑体"/>
                <w:bCs/>
                <w:color w:val="000000"/>
                <w:szCs w:val="21"/>
              </w:rPr>
            </w:pPr>
            <w:r>
              <w:rPr>
                <w:rFonts w:hint="eastAsia" w:ascii="黑体" w:hAnsi="黑体" w:eastAsia="黑体" w:cs="黑体"/>
                <w:bCs/>
                <w:color w:val="000000"/>
                <w:szCs w:val="21"/>
              </w:rPr>
              <w:t>责任事项</w:t>
            </w:r>
          </w:p>
        </w:tc>
        <w:tc>
          <w:tcPr>
            <w:tcW w:w="6620" w:type="dxa"/>
            <w:noWrap w:val="0"/>
            <w:vAlign w:val="center"/>
          </w:tcPr>
          <w:p w14:paraId="62C9A8B8">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1.审查责任：审查档案及安置条件材料。</w:t>
            </w:r>
          </w:p>
          <w:p w14:paraId="0DC89763">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2.决定公布责任：将安置结果对被安置退役军人进行公示。</w:t>
            </w:r>
          </w:p>
          <w:p w14:paraId="7858DA1D">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3.解释备案责任：对本级安置政策及安置情况具有解释责任。</w:t>
            </w:r>
          </w:p>
          <w:p w14:paraId="0A4FE542">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4.其他责任：法律法规规章文件规定应当履行的其他责任。</w:t>
            </w:r>
          </w:p>
        </w:tc>
      </w:tr>
      <w:tr w14:paraId="5926A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7" w:hRule="atLeast"/>
        </w:trPr>
        <w:tc>
          <w:tcPr>
            <w:tcW w:w="1517" w:type="dxa"/>
            <w:noWrap w:val="0"/>
            <w:vAlign w:val="center"/>
          </w:tcPr>
          <w:p w14:paraId="134427AC">
            <w:pPr>
              <w:jc w:val="center"/>
              <w:rPr>
                <w:rFonts w:hint="eastAsia" w:ascii="黑体" w:hAnsi="黑体" w:eastAsia="黑体" w:cs="黑体"/>
                <w:bCs/>
                <w:color w:val="000000"/>
                <w:szCs w:val="21"/>
              </w:rPr>
            </w:pPr>
            <w:r>
              <w:rPr>
                <w:rFonts w:hint="eastAsia" w:ascii="黑体" w:hAnsi="黑体" w:eastAsia="黑体" w:cs="黑体"/>
                <w:bCs/>
                <w:color w:val="000000"/>
                <w:szCs w:val="21"/>
              </w:rPr>
              <w:t>追责情形</w:t>
            </w:r>
          </w:p>
        </w:tc>
        <w:tc>
          <w:tcPr>
            <w:tcW w:w="6620" w:type="dxa"/>
            <w:noWrap w:val="0"/>
            <w:vAlign w:val="center"/>
          </w:tcPr>
          <w:p w14:paraId="2F15A4E0">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对不履行或不正确履行行政职责的行政机关及其工作人员，依据《中华人民共和国监察法》、《中华人民共和国退役军人保障法》、《行政机关公务员处分条例》、《退役士兵安置条例》、《四川省行政执法监督条例》、《军队转业干部安置暂行办法》、《四川省行政审批违法违纪行为责任追究办法》等法律法规规章的相关规定追究相应的责任。</w:t>
            </w:r>
          </w:p>
        </w:tc>
      </w:tr>
      <w:tr w14:paraId="64FF5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517" w:type="dxa"/>
            <w:noWrap w:val="0"/>
            <w:vAlign w:val="center"/>
          </w:tcPr>
          <w:p w14:paraId="6BD5FF51">
            <w:pPr>
              <w:jc w:val="center"/>
              <w:rPr>
                <w:rFonts w:hint="eastAsia" w:ascii="黑体" w:hAnsi="黑体" w:eastAsia="黑体" w:cs="黑体"/>
                <w:bCs/>
                <w:color w:val="000000"/>
                <w:szCs w:val="21"/>
              </w:rPr>
            </w:pPr>
            <w:r>
              <w:rPr>
                <w:rFonts w:hint="eastAsia" w:ascii="黑体" w:hAnsi="黑体" w:eastAsia="黑体" w:cs="黑体"/>
                <w:bCs/>
                <w:color w:val="000000"/>
                <w:szCs w:val="21"/>
              </w:rPr>
              <w:t>监督电话</w:t>
            </w:r>
          </w:p>
        </w:tc>
        <w:tc>
          <w:tcPr>
            <w:tcW w:w="6620" w:type="dxa"/>
            <w:noWrap w:val="0"/>
            <w:vAlign w:val="center"/>
          </w:tcPr>
          <w:p w14:paraId="2B3DEAA8">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4A467980"/>
    <w:tbl>
      <w:tblPr>
        <w:tblStyle w:val="6"/>
        <w:tblW w:w="0" w:type="auto"/>
        <w:tblInd w:w="4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17"/>
        <w:gridCol w:w="6610"/>
      </w:tblGrid>
      <w:tr w14:paraId="2A116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517" w:type="dxa"/>
            <w:noWrap w:val="0"/>
            <w:vAlign w:val="center"/>
          </w:tcPr>
          <w:p w14:paraId="1B21CA32">
            <w:pPr>
              <w:jc w:val="center"/>
              <w:rPr>
                <w:rFonts w:hint="eastAsia" w:ascii="黑体" w:hAnsi="黑体" w:eastAsia="黑体" w:cs="黑体"/>
                <w:bCs/>
                <w:color w:val="000000"/>
                <w:szCs w:val="21"/>
              </w:rPr>
            </w:pPr>
            <w:r>
              <w:rPr>
                <w:rFonts w:hint="eastAsia" w:ascii="黑体" w:hAnsi="黑体" w:eastAsia="黑体" w:cs="黑体"/>
                <w:bCs/>
                <w:color w:val="000000"/>
                <w:szCs w:val="21"/>
              </w:rPr>
              <w:t>序号</w:t>
            </w:r>
          </w:p>
        </w:tc>
        <w:tc>
          <w:tcPr>
            <w:tcW w:w="6610" w:type="dxa"/>
            <w:noWrap w:val="0"/>
            <w:vAlign w:val="center"/>
          </w:tcPr>
          <w:p w14:paraId="0C0E4ACD">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rPr>
              <w:t>1</w:t>
            </w:r>
            <w:r>
              <w:rPr>
                <w:rFonts w:hint="eastAsia" w:ascii="仿宋_GB2312" w:hAnsi="仿宋_GB2312" w:eastAsia="仿宋_GB2312" w:cs="仿宋_GB2312"/>
                <w:bCs/>
                <w:color w:val="000000"/>
                <w:szCs w:val="21"/>
                <w:lang w:val="en-US" w:eastAsia="zh-CN"/>
              </w:rPr>
              <w:t>0</w:t>
            </w:r>
          </w:p>
        </w:tc>
      </w:tr>
      <w:tr w14:paraId="7D2DF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517" w:type="dxa"/>
            <w:noWrap w:val="0"/>
            <w:vAlign w:val="center"/>
          </w:tcPr>
          <w:p w14:paraId="3F28FE22">
            <w:pPr>
              <w:jc w:val="center"/>
              <w:rPr>
                <w:rFonts w:hint="eastAsia" w:ascii="黑体" w:hAnsi="黑体" w:eastAsia="黑体" w:cs="黑体"/>
                <w:bCs/>
                <w:color w:val="000000"/>
                <w:szCs w:val="21"/>
              </w:rPr>
            </w:pPr>
            <w:r>
              <w:rPr>
                <w:rFonts w:hint="eastAsia" w:ascii="黑体" w:hAnsi="黑体" w:eastAsia="黑体" w:cs="黑体"/>
                <w:bCs/>
                <w:color w:val="000000"/>
                <w:szCs w:val="21"/>
              </w:rPr>
              <w:t>权力类型</w:t>
            </w:r>
          </w:p>
        </w:tc>
        <w:tc>
          <w:tcPr>
            <w:tcW w:w="6610" w:type="dxa"/>
            <w:noWrap w:val="0"/>
            <w:vAlign w:val="center"/>
          </w:tcPr>
          <w:p w14:paraId="2A46378E">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其他行政权力</w:t>
            </w:r>
          </w:p>
        </w:tc>
      </w:tr>
      <w:tr w14:paraId="12154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517" w:type="dxa"/>
            <w:noWrap w:val="0"/>
            <w:vAlign w:val="center"/>
          </w:tcPr>
          <w:p w14:paraId="4C32F4E4">
            <w:pPr>
              <w:jc w:val="center"/>
              <w:rPr>
                <w:rFonts w:hint="eastAsia" w:ascii="黑体" w:hAnsi="黑体" w:eastAsia="黑体" w:cs="黑体"/>
                <w:bCs/>
                <w:color w:val="000000"/>
                <w:szCs w:val="21"/>
              </w:rPr>
            </w:pPr>
            <w:r>
              <w:rPr>
                <w:rFonts w:hint="eastAsia" w:ascii="黑体" w:hAnsi="黑体" w:eastAsia="黑体" w:cs="黑体"/>
                <w:bCs/>
                <w:color w:val="000000"/>
                <w:szCs w:val="21"/>
              </w:rPr>
              <w:t>权力项目名称</w:t>
            </w:r>
          </w:p>
        </w:tc>
        <w:tc>
          <w:tcPr>
            <w:tcW w:w="6610" w:type="dxa"/>
            <w:noWrap w:val="0"/>
            <w:vAlign w:val="center"/>
          </w:tcPr>
          <w:p w14:paraId="24BD636A">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退役士兵易地安置</w:t>
            </w:r>
          </w:p>
        </w:tc>
      </w:tr>
      <w:tr w14:paraId="20D16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517" w:type="dxa"/>
            <w:noWrap w:val="0"/>
            <w:vAlign w:val="center"/>
          </w:tcPr>
          <w:p w14:paraId="5C4B7980">
            <w:pPr>
              <w:jc w:val="center"/>
              <w:rPr>
                <w:rFonts w:hint="eastAsia" w:ascii="黑体" w:hAnsi="黑体" w:eastAsia="黑体" w:cs="黑体"/>
                <w:bCs/>
                <w:color w:val="000000"/>
                <w:szCs w:val="21"/>
              </w:rPr>
            </w:pPr>
            <w:r>
              <w:rPr>
                <w:rFonts w:hint="eastAsia" w:ascii="黑体" w:hAnsi="黑体" w:eastAsia="黑体" w:cs="黑体"/>
                <w:bCs/>
                <w:color w:val="000000"/>
                <w:szCs w:val="21"/>
              </w:rPr>
              <w:t>实施依据</w:t>
            </w:r>
          </w:p>
        </w:tc>
        <w:tc>
          <w:tcPr>
            <w:tcW w:w="6610" w:type="dxa"/>
            <w:noWrap w:val="0"/>
            <w:vAlign w:val="center"/>
          </w:tcPr>
          <w:p w14:paraId="44E83433">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《退役士兵安置条例》（2011年10月国务院、中央军委令第608号）第十一条：退役士兵有下列情形之一的，可以易地安置：</w:t>
            </w:r>
          </w:p>
          <w:p w14:paraId="38EEAA58">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（一）服现役期间父母户口所在地变更的，可以在父母现户口所在地安置；</w:t>
            </w:r>
          </w:p>
          <w:p w14:paraId="4C11A31A">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（二）符合军队有关现役士兵结婚规定且结婚满2年的，可以在配偶或者配偶父母户口所在地安置；</w:t>
            </w:r>
          </w:p>
          <w:p w14:paraId="0FD45D10">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（三）因其他特殊情况，由部队师（旅）级单位出具证明，经省级以上人民政府退役士兵安置工作主管部门批准易地安置的。</w:t>
            </w:r>
          </w:p>
        </w:tc>
      </w:tr>
      <w:tr w14:paraId="186873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517" w:type="dxa"/>
            <w:noWrap w:val="0"/>
            <w:vAlign w:val="center"/>
          </w:tcPr>
          <w:p w14:paraId="2CAF7C62">
            <w:pPr>
              <w:jc w:val="center"/>
              <w:rPr>
                <w:rFonts w:hint="eastAsia" w:ascii="黑体" w:hAnsi="黑体" w:eastAsia="黑体" w:cs="黑体"/>
                <w:bCs/>
                <w:color w:val="000000"/>
                <w:szCs w:val="21"/>
              </w:rPr>
            </w:pPr>
            <w:r>
              <w:rPr>
                <w:rFonts w:hint="eastAsia" w:ascii="黑体" w:hAnsi="黑体" w:eastAsia="黑体" w:cs="黑体"/>
                <w:bCs/>
                <w:color w:val="000000"/>
                <w:szCs w:val="21"/>
              </w:rPr>
              <w:t>责任主体</w:t>
            </w:r>
          </w:p>
        </w:tc>
        <w:tc>
          <w:tcPr>
            <w:tcW w:w="6610" w:type="dxa"/>
            <w:noWrap w:val="0"/>
            <w:vAlign w:val="center"/>
          </w:tcPr>
          <w:p w14:paraId="0824165A">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安置就业科</w:t>
            </w:r>
          </w:p>
        </w:tc>
      </w:tr>
      <w:tr w14:paraId="2D230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5" w:hRule="atLeast"/>
        </w:trPr>
        <w:tc>
          <w:tcPr>
            <w:tcW w:w="1517" w:type="dxa"/>
            <w:noWrap w:val="0"/>
            <w:vAlign w:val="center"/>
          </w:tcPr>
          <w:p w14:paraId="26E14599">
            <w:pPr>
              <w:jc w:val="center"/>
              <w:rPr>
                <w:rFonts w:hint="eastAsia" w:ascii="黑体" w:hAnsi="黑体" w:eastAsia="黑体" w:cs="黑体"/>
                <w:bCs/>
                <w:color w:val="000000"/>
                <w:szCs w:val="21"/>
              </w:rPr>
            </w:pPr>
            <w:r>
              <w:rPr>
                <w:rFonts w:hint="eastAsia" w:ascii="黑体" w:hAnsi="黑体" w:eastAsia="黑体" w:cs="黑体"/>
                <w:bCs/>
                <w:color w:val="000000"/>
                <w:szCs w:val="21"/>
              </w:rPr>
              <w:t>责任事项</w:t>
            </w:r>
          </w:p>
        </w:tc>
        <w:tc>
          <w:tcPr>
            <w:tcW w:w="6610" w:type="dxa"/>
            <w:noWrap w:val="0"/>
            <w:vAlign w:val="center"/>
          </w:tcPr>
          <w:p w14:paraId="324686DE">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1.审查责任：审查档案及异地安置条件材料。</w:t>
            </w:r>
          </w:p>
          <w:p w14:paraId="7425757B">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2.决定公布责任：将安置结果对被安置退役军人进行公示。</w:t>
            </w:r>
          </w:p>
          <w:p w14:paraId="7D551053">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3.解释备案责任：对本级安置政策及安置情况具有解释责任。</w:t>
            </w:r>
          </w:p>
          <w:p w14:paraId="13C27A61">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4.其他责任：法律法规规章文件规定应当履行的其他责任。</w:t>
            </w:r>
          </w:p>
        </w:tc>
      </w:tr>
      <w:tr w14:paraId="71DCD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7" w:hRule="atLeast"/>
        </w:trPr>
        <w:tc>
          <w:tcPr>
            <w:tcW w:w="1517" w:type="dxa"/>
            <w:noWrap w:val="0"/>
            <w:vAlign w:val="center"/>
          </w:tcPr>
          <w:p w14:paraId="581AC3DF">
            <w:pPr>
              <w:jc w:val="center"/>
              <w:rPr>
                <w:rFonts w:hint="eastAsia" w:ascii="黑体" w:hAnsi="黑体" w:eastAsia="黑体" w:cs="黑体"/>
                <w:bCs/>
                <w:color w:val="000000"/>
                <w:szCs w:val="21"/>
              </w:rPr>
            </w:pPr>
            <w:r>
              <w:rPr>
                <w:rFonts w:hint="eastAsia" w:ascii="黑体" w:hAnsi="黑体" w:eastAsia="黑体" w:cs="黑体"/>
                <w:bCs/>
                <w:color w:val="000000"/>
                <w:szCs w:val="21"/>
              </w:rPr>
              <w:t>追责情形</w:t>
            </w:r>
          </w:p>
        </w:tc>
        <w:tc>
          <w:tcPr>
            <w:tcW w:w="6610" w:type="dxa"/>
            <w:noWrap w:val="0"/>
            <w:vAlign w:val="center"/>
          </w:tcPr>
          <w:p w14:paraId="2077AD4B">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对不履行或不正确履行行政职责的行政机关及其工作人员，依据《中华人民共和国监察法》、《中华人民共和国退役军人保障法》、《行政机关公务员处分条例》、《退役士兵安置条例》、《四川省行政执法监督条例》、《四川省行政审批违法违纪行为责任追究办法》等法律法规规章的相关规定追究相应的责任。</w:t>
            </w:r>
          </w:p>
        </w:tc>
      </w:tr>
      <w:tr w14:paraId="5AFDF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517" w:type="dxa"/>
            <w:noWrap w:val="0"/>
            <w:vAlign w:val="center"/>
          </w:tcPr>
          <w:p w14:paraId="03927B3F">
            <w:pPr>
              <w:jc w:val="center"/>
              <w:rPr>
                <w:rFonts w:hint="eastAsia" w:ascii="黑体" w:hAnsi="黑体" w:eastAsia="黑体" w:cs="黑体"/>
                <w:bCs/>
                <w:color w:val="000000"/>
                <w:szCs w:val="21"/>
              </w:rPr>
            </w:pPr>
            <w:r>
              <w:rPr>
                <w:rFonts w:hint="eastAsia" w:ascii="黑体" w:hAnsi="黑体" w:eastAsia="黑体" w:cs="黑体"/>
                <w:bCs/>
                <w:color w:val="000000"/>
                <w:szCs w:val="21"/>
              </w:rPr>
              <w:t>监督电话</w:t>
            </w:r>
          </w:p>
        </w:tc>
        <w:tc>
          <w:tcPr>
            <w:tcW w:w="6610" w:type="dxa"/>
            <w:noWrap w:val="0"/>
            <w:vAlign w:val="center"/>
          </w:tcPr>
          <w:p w14:paraId="5E7427EF">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2FDCD347"/>
    <w:tbl>
      <w:tblPr>
        <w:tblStyle w:val="6"/>
        <w:tblW w:w="0" w:type="auto"/>
        <w:tblInd w:w="4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17"/>
        <w:gridCol w:w="6610"/>
      </w:tblGrid>
      <w:tr w14:paraId="73DF5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517" w:type="dxa"/>
            <w:noWrap w:val="0"/>
            <w:vAlign w:val="center"/>
          </w:tcPr>
          <w:p w14:paraId="53C54A1D">
            <w:pPr>
              <w:jc w:val="center"/>
              <w:rPr>
                <w:rFonts w:hint="eastAsia" w:ascii="黑体" w:hAnsi="黑体" w:eastAsia="黑体" w:cs="黑体"/>
                <w:bCs/>
                <w:color w:val="000000"/>
                <w:szCs w:val="21"/>
              </w:rPr>
            </w:pPr>
            <w:r>
              <w:rPr>
                <w:rFonts w:hint="eastAsia" w:ascii="黑体" w:hAnsi="黑体" w:eastAsia="黑体" w:cs="黑体"/>
                <w:bCs/>
                <w:color w:val="000000"/>
                <w:szCs w:val="21"/>
              </w:rPr>
              <w:t>序号</w:t>
            </w:r>
          </w:p>
        </w:tc>
        <w:tc>
          <w:tcPr>
            <w:tcW w:w="6610" w:type="dxa"/>
            <w:noWrap w:val="0"/>
            <w:vAlign w:val="center"/>
          </w:tcPr>
          <w:p w14:paraId="225C50FD">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rPr>
              <w:t>1</w:t>
            </w:r>
            <w:r>
              <w:rPr>
                <w:rFonts w:hint="eastAsia" w:ascii="仿宋_GB2312" w:hAnsi="仿宋_GB2312" w:eastAsia="仿宋_GB2312" w:cs="仿宋_GB2312"/>
                <w:bCs/>
                <w:color w:val="000000"/>
                <w:szCs w:val="21"/>
                <w:lang w:val="en-US" w:eastAsia="zh-CN"/>
              </w:rPr>
              <w:t>1</w:t>
            </w:r>
          </w:p>
        </w:tc>
      </w:tr>
      <w:tr w14:paraId="6E2DC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517" w:type="dxa"/>
            <w:noWrap w:val="0"/>
            <w:vAlign w:val="center"/>
          </w:tcPr>
          <w:p w14:paraId="6B5A317A">
            <w:pPr>
              <w:jc w:val="center"/>
              <w:rPr>
                <w:rFonts w:hint="eastAsia" w:ascii="黑体" w:hAnsi="黑体" w:eastAsia="黑体" w:cs="黑体"/>
                <w:bCs/>
                <w:color w:val="000000"/>
                <w:szCs w:val="21"/>
              </w:rPr>
            </w:pPr>
            <w:r>
              <w:rPr>
                <w:rFonts w:hint="eastAsia" w:ascii="黑体" w:hAnsi="黑体" w:eastAsia="黑体" w:cs="黑体"/>
                <w:bCs/>
                <w:color w:val="000000"/>
                <w:szCs w:val="21"/>
              </w:rPr>
              <w:t>权力类型</w:t>
            </w:r>
          </w:p>
        </w:tc>
        <w:tc>
          <w:tcPr>
            <w:tcW w:w="6610" w:type="dxa"/>
            <w:noWrap w:val="0"/>
            <w:vAlign w:val="center"/>
          </w:tcPr>
          <w:p w14:paraId="12DDFA11">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其他行政权力</w:t>
            </w:r>
          </w:p>
        </w:tc>
      </w:tr>
      <w:tr w14:paraId="3FF5D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517" w:type="dxa"/>
            <w:noWrap w:val="0"/>
            <w:vAlign w:val="center"/>
          </w:tcPr>
          <w:p w14:paraId="04F60981">
            <w:pPr>
              <w:jc w:val="center"/>
              <w:rPr>
                <w:rFonts w:hint="eastAsia" w:ascii="黑体" w:hAnsi="黑体" w:eastAsia="黑体" w:cs="黑体"/>
                <w:bCs/>
                <w:color w:val="000000"/>
                <w:szCs w:val="21"/>
              </w:rPr>
            </w:pPr>
            <w:r>
              <w:rPr>
                <w:rFonts w:hint="eastAsia" w:ascii="黑体" w:hAnsi="黑体" w:eastAsia="黑体" w:cs="黑体"/>
                <w:bCs/>
                <w:color w:val="000000"/>
                <w:szCs w:val="21"/>
              </w:rPr>
              <w:t>权力项目名称</w:t>
            </w:r>
          </w:p>
        </w:tc>
        <w:tc>
          <w:tcPr>
            <w:tcW w:w="6610" w:type="dxa"/>
            <w:noWrap w:val="0"/>
            <w:vAlign w:val="center"/>
          </w:tcPr>
          <w:p w14:paraId="0A9655CD">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复员干部移交安置</w:t>
            </w:r>
          </w:p>
        </w:tc>
      </w:tr>
      <w:tr w14:paraId="5A92C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1517" w:type="dxa"/>
            <w:noWrap w:val="0"/>
            <w:vAlign w:val="center"/>
          </w:tcPr>
          <w:p w14:paraId="644358E4">
            <w:pPr>
              <w:jc w:val="center"/>
              <w:rPr>
                <w:rFonts w:hint="eastAsia" w:ascii="黑体" w:hAnsi="黑体" w:eastAsia="黑体" w:cs="黑体"/>
                <w:bCs/>
                <w:color w:val="000000"/>
                <w:szCs w:val="21"/>
              </w:rPr>
            </w:pPr>
            <w:r>
              <w:rPr>
                <w:rFonts w:hint="eastAsia" w:ascii="黑体" w:hAnsi="黑体" w:eastAsia="黑体" w:cs="黑体"/>
                <w:bCs/>
                <w:color w:val="000000"/>
                <w:szCs w:val="21"/>
              </w:rPr>
              <w:t>实施依据</w:t>
            </w:r>
          </w:p>
        </w:tc>
        <w:tc>
          <w:tcPr>
            <w:tcW w:w="6610" w:type="dxa"/>
            <w:noWrap w:val="0"/>
            <w:vAlign w:val="center"/>
          </w:tcPr>
          <w:p w14:paraId="03D280E3">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1.《中华人民共和国退役军人保障法》第二十一条：对退役的军官，国家采取退休、转业、逐月领取退役金、复员等方式妥善安置。</w:t>
            </w:r>
          </w:p>
          <w:p w14:paraId="68599D98">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2.《关于做好2003年军队复员干部安置工作的通知》（民发〔2003〕105号）全文</w:t>
            </w:r>
          </w:p>
        </w:tc>
      </w:tr>
      <w:tr w14:paraId="5D983B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517" w:type="dxa"/>
            <w:noWrap w:val="0"/>
            <w:vAlign w:val="center"/>
          </w:tcPr>
          <w:p w14:paraId="108981E0">
            <w:pPr>
              <w:jc w:val="center"/>
              <w:rPr>
                <w:rFonts w:hint="eastAsia" w:ascii="黑体" w:hAnsi="黑体" w:eastAsia="黑体" w:cs="黑体"/>
                <w:bCs/>
                <w:color w:val="000000"/>
                <w:szCs w:val="21"/>
              </w:rPr>
            </w:pPr>
            <w:r>
              <w:rPr>
                <w:rFonts w:hint="eastAsia" w:ascii="黑体" w:hAnsi="黑体" w:eastAsia="黑体" w:cs="黑体"/>
                <w:bCs/>
                <w:color w:val="000000"/>
                <w:szCs w:val="21"/>
              </w:rPr>
              <w:t>责任主体</w:t>
            </w:r>
          </w:p>
        </w:tc>
        <w:tc>
          <w:tcPr>
            <w:tcW w:w="6610" w:type="dxa"/>
            <w:noWrap w:val="0"/>
            <w:vAlign w:val="center"/>
          </w:tcPr>
          <w:p w14:paraId="5FFAEEF3">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安置就业科</w:t>
            </w:r>
          </w:p>
        </w:tc>
      </w:tr>
      <w:tr w14:paraId="06E3D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5" w:hRule="atLeast"/>
        </w:trPr>
        <w:tc>
          <w:tcPr>
            <w:tcW w:w="1517" w:type="dxa"/>
            <w:noWrap w:val="0"/>
            <w:vAlign w:val="center"/>
          </w:tcPr>
          <w:p w14:paraId="77E7C94D">
            <w:pPr>
              <w:jc w:val="center"/>
              <w:rPr>
                <w:rFonts w:hint="eastAsia" w:ascii="黑体" w:hAnsi="黑体" w:eastAsia="黑体" w:cs="黑体"/>
                <w:bCs/>
                <w:color w:val="000000"/>
                <w:szCs w:val="21"/>
              </w:rPr>
            </w:pPr>
            <w:r>
              <w:rPr>
                <w:rFonts w:hint="eastAsia" w:ascii="黑体" w:hAnsi="黑体" w:eastAsia="黑体" w:cs="黑体"/>
                <w:bCs/>
                <w:color w:val="000000"/>
                <w:szCs w:val="21"/>
              </w:rPr>
              <w:t>责任事项</w:t>
            </w:r>
          </w:p>
        </w:tc>
        <w:tc>
          <w:tcPr>
            <w:tcW w:w="6610" w:type="dxa"/>
            <w:noWrap w:val="0"/>
            <w:vAlign w:val="center"/>
          </w:tcPr>
          <w:p w14:paraId="7D525706">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1.审查责任：审查档案及安置条件材料。</w:t>
            </w:r>
          </w:p>
          <w:p w14:paraId="5BE17B33">
            <w:pPr>
              <w:ind w:firstLine="420" w:firstLineChars="200"/>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2.决定责任：对审查情况作出是否核准意见。</w:t>
            </w:r>
          </w:p>
          <w:p w14:paraId="10FF6BC0">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3.解释备案责任：对本级安置政策及安置情况具有解释责任。</w:t>
            </w:r>
          </w:p>
          <w:p w14:paraId="6824725E">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4.其他责任：法律法规规章文件规定应当履行的其他责任。</w:t>
            </w:r>
          </w:p>
        </w:tc>
      </w:tr>
      <w:tr w14:paraId="7001D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47" w:hRule="atLeast"/>
        </w:trPr>
        <w:tc>
          <w:tcPr>
            <w:tcW w:w="1517" w:type="dxa"/>
            <w:noWrap w:val="0"/>
            <w:vAlign w:val="center"/>
          </w:tcPr>
          <w:p w14:paraId="784E2479">
            <w:pPr>
              <w:jc w:val="center"/>
              <w:rPr>
                <w:rFonts w:hint="eastAsia" w:ascii="黑体" w:hAnsi="黑体" w:eastAsia="黑体" w:cs="黑体"/>
                <w:bCs/>
                <w:color w:val="000000"/>
                <w:szCs w:val="21"/>
              </w:rPr>
            </w:pPr>
            <w:r>
              <w:rPr>
                <w:rFonts w:hint="eastAsia" w:ascii="黑体" w:hAnsi="黑体" w:eastAsia="黑体" w:cs="黑体"/>
                <w:bCs/>
                <w:color w:val="000000"/>
                <w:szCs w:val="21"/>
              </w:rPr>
              <w:t>追责情形</w:t>
            </w:r>
          </w:p>
        </w:tc>
        <w:tc>
          <w:tcPr>
            <w:tcW w:w="6610" w:type="dxa"/>
            <w:noWrap w:val="0"/>
            <w:vAlign w:val="center"/>
          </w:tcPr>
          <w:p w14:paraId="4423AB8C">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对不履行或不正确履行行政职责的行政机关及其工作人员，依据《中华人民共和国监察法》、《中华人民共和国退役军人保障法》、《行政机关公务员处分条例》、《四川省行政执法监督条例》、《四川省行政审批违法违纪行为责任追究办法》等法律法规规章的相关规定追究相应的责任。</w:t>
            </w:r>
          </w:p>
        </w:tc>
      </w:tr>
      <w:tr w14:paraId="0805B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517" w:type="dxa"/>
            <w:noWrap w:val="0"/>
            <w:vAlign w:val="center"/>
          </w:tcPr>
          <w:p w14:paraId="1A51F333">
            <w:pPr>
              <w:jc w:val="center"/>
              <w:rPr>
                <w:rFonts w:hint="eastAsia" w:ascii="黑体" w:hAnsi="黑体" w:eastAsia="黑体" w:cs="黑体"/>
                <w:bCs/>
                <w:color w:val="000000"/>
                <w:szCs w:val="21"/>
              </w:rPr>
            </w:pPr>
            <w:r>
              <w:rPr>
                <w:rFonts w:hint="eastAsia" w:ascii="黑体" w:hAnsi="黑体" w:eastAsia="黑体" w:cs="黑体"/>
                <w:bCs/>
                <w:color w:val="000000"/>
                <w:szCs w:val="21"/>
              </w:rPr>
              <w:t>监督电话</w:t>
            </w:r>
          </w:p>
        </w:tc>
        <w:tc>
          <w:tcPr>
            <w:tcW w:w="6610" w:type="dxa"/>
            <w:noWrap w:val="0"/>
            <w:vAlign w:val="center"/>
          </w:tcPr>
          <w:p w14:paraId="4C37F549">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3505590D"/>
    <w:tbl>
      <w:tblPr>
        <w:tblStyle w:val="6"/>
        <w:tblpPr w:leftFromText="180" w:rightFromText="180" w:vertAnchor="text" w:horzAnchor="page" w:tblpXSpec="center" w:tblpY="223"/>
        <w:tblOverlap w:val="never"/>
        <w:tblW w:w="81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49"/>
        <w:gridCol w:w="6610"/>
      </w:tblGrid>
      <w:tr w14:paraId="07990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1549" w:type="dxa"/>
            <w:noWrap w:val="0"/>
            <w:vAlign w:val="center"/>
          </w:tcPr>
          <w:p w14:paraId="17833154">
            <w:pPr>
              <w:keepNext w:val="0"/>
              <w:keepLines w:val="0"/>
              <w:pageBreakBefore w:val="0"/>
              <w:widowControl w:val="0"/>
              <w:kinsoku/>
              <w:wordWrap/>
              <w:overflowPunct/>
              <w:topLinePunct w:val="0"/>
              <w:autoSpaceDE/>
              <w:autoSpaceDN/>
              <w:bidi w:val="0"/>
              <w:adjustRightInd/>
              <w:snapToGrid/>
              <w:spacing w:line="240" w:lineRule="auto"/>
              <w:ind w:left="46" w:leftChars="22"/>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序号</w:t>
            </w:r>
          </w:p>
        </w:tc>
        <w:tc>
          <w:tcPr>
            <w:tcW w:w="6610" w:type="dxa"/>
            <w:noWrap w:val="0"/>
            <w:vAlign w:val="center"/>
          </w:tcPr>
          <w:p w14:paraId="393D60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lang w:val="en-US" w:eastAsia="zh-CN"/>
              </w:rPr>
              <w:t>12</w:t>
            </w:r>
          </w:p>
        </w:tc>
      </w:tr>
      <w:tr w14:paraId="065FC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549" w:type="dxa"/>
            <w:noWrap w:val="0"/>
            <w:vAlign w:val="center"/>
          </w:tcPr>
          <w:p w14:paraId="034717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权力类型</w:t>
            </w:r>
          </w:p>
        </w:tc>
        <w:tc>
          <w:tcPr>
            <w:tcW w:w="6610" w:type="dxa"/>
            <w:noWrap w:val="0"/>
            <w:vAlign w:val="center"/>
          </w:tcPr>
          <w:p w14:paraId="658A0A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eastAsia="zh-CN"/>
              </w:rPr>
              <w:t>其他行政权力</w:t>
            </w:r>
          </w:p>
        </w:tc>
      </w:tr>
      <w:tr w14:paraId="5593E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4" w:hRule="atLeast"/>
          <w:jc w:val="center"/>
        </w:trPr>
        <w:tc>
          <w:tcPr>
            <w:tcW w:w="1549" w:type="dxa"/>
            <w:noWrap w:val="0"/>
            <w:vAlign w:val="center"/>
          </w:tcPr>
          <w:p w14:paraId="1840CD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权力项目名称</w:t>
            </w:r>
          </w:p>
        </w:tc>
        <w:tc>
          <w:tcPr>
            <w:tcW w:w="6610" w:type="dxa"/>
            <w:noWrap w:val="0"/>
            <w:vAlign w:val="center"/>
          </w:tcPr>
          <w:p w14:paraId="7981389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val="en-US" w:eastAsia="zh-CN"/>
              </w:rPr>
              <w:t>依法处理在英雄烈士纪念设施保护范围内从事有损纪念英雄烈士环境和氛围活动的行为</w:t>
            </w:r>
            <w:r>
              <w:rPr>
                <w:rFonts w:hint="eastAsia" w:ascii="仿宋_GB2312" w:hAnsi="仿宋_GB2312" w:eastAsia="仿宋_GB2312" w:cs="仿宋_GB2312"/>
                <w:color w:val="000000"/>
                <w:sz w:val="21"/>
                <w:szCs w:val="21"/>
              </w:rPr>
              <w:tab/>
            </w:r>
          </w:p>
        </w:tc>
      </w:tr>
      <w:tr w14:paraId="0EF593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3" w:hRule="atLeast"/>
          <w:jc w:val="center"/>
        </w:trPr>
        <w:tc>
          <w:tcPr>
            <w:tcW w:w="1549" w:type="dxa"/>
            <w:noWrap w:val="0"/>
            <w:vAlign w:val="center"/>
          </w:tcPr>
          <w:p w14:paraId="70F096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实施依据</w:t>
            </w:r>
          </w:p>
        </w:tc>
        <w:tc>
          <w:tcPr>
            <w:tcW w:w="6610" w:type="dxa"/>
            <w:noWrap w:val="0"/>
            <w:vAlign w:val="center"/>
          </w:tcPr>
          <w:p w14:paraId="65F370A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1.《中华人民共和国英雄烈士保护法》第二十七条 在英雄烈士纪念设施保护范围内从事有损纪念英雄烈士环境和氛围的活动的，纪念设施保护单位应当及时劝阻；不听劝阻的，由县级以上地方人民政府负责英雄烈士保护工作的部门、文物主管部门按照职责规定给予批评教育，责令改正；构成违反治安管理行为的，由公安机关依法给予治安管理处罚。</w:t>
            </w:r>
          </w:p>
          <w:p w14:paraId="627C4A8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亵渎、否定英雄烈士事迹和精神，宣扬、美化侵略战争和侵略行为，寻衅滋事，扰乱公共秩序，构成违反治安管理行为的，由公安机关依法给予治安管理处罚；构成犯罪的，依法追究刑事责任。</w:t>
            </w:r>
          </w:p>
          <w:p w14:paraId="57627D49">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val="en-US" w:eastAsia="zh-CN"/>
              </w:rPr>
              <w:t>2.《烈士纪念设施保护管理办法》第三十三条 在烈士纪念设施保护范围内从事有损纪念英烈环境和氛围活动的，烈士纪念设施保护单位和管理单位应当及时劝阻;不听劝阻的，由县级以上人民政府退役军人工作主管部门会同有关部门按照职责规定给予批评教育，责令改正。</w:t>
            </w:r>
          </w:p>
        </w:tc>
      </w:tr>
      <w:tr w14:paraId="048A7F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1549" w:type="dxa"/>
            <w:noWrap w:val="0"/>
            <w:vAlign w:val="center"/>
          </w:tcPr>
          <w:p w14:paraId="76E429A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责任主体</w:t>
            </w:r>
          </w:p>
        </w:tc>
        <w:tc>
          <w:tcPr>
            <w:tcW w:w="6610" w:type="dxa"/>
            <w:noWrap w:val="0"/>
            <w:vAlign w:val="center"/>
          </w:tcPr>
          <w:p w14:paraId="0500EC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lang w:val="en-US" w:eastAsia="zh-CN"/>
              </w:rPr>
              <w:t>优抚褒扬科</w:t>
            </w:r>
          </w:p>
        </w:tc>
      </w:tr>
      <w:tr w14:paraId="412F5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9" w:hRule="atLeast"/>
          <w:jc w:val="center"/>
        </w:trPr>
        <w:tc>
          <w:tcPr>
            <w:tcW w:w="1549" w:type="dxa"/>
            <w:noWrap w:val="0"/>
            <w:vAlign w:val="center"/>
          </w:tcPr>
          <w:p w14:paraId="0FB724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责任事项</w:t>
            </w:r>
          </w:p>
        </w:tc>
        <w:tc>
          <w:tcPr>
            <w:tcW w:w="6610" w:type="dxa"/>
            <w:noWrap w:val="0"/>
            <w:vAlign w:val="center"/>
          </w:tcPr>
          <w:p w14:paraId="3EB402C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sz w:val="21"/>
                <w:szCs w:val="21"/>
                <w:lang w:eastAsia="zh-CN"/>
              </w:rPr>
              <w:t>受理</w:t>
            </w:r>
            <w:r>
              <w:rPr>
                <w:rFonts w:hint="eastAsia" w:ascii="仿宋_GB2312" w:hAnsi="仿宋_GB2312" w:eastAsia="仿宋_GB2312" w:cs="仿宋_GB2312"/>
                <w:sz w:val="21"/>
                <w:szCs w:val="21"/>
                <w:lang w:val="en-US" w:eastAsia="zh-CN"/>
              </w:rPr>
              <w:t>责任：对依据监督检查职权或者通过举报、投诉、其他部门移送、上级部门交办等途径发现的违法行为线索，决定是否</w:t>
            </w:r>
            <w:r>
              <w:rPr>
                <w:rFonts w:hint="eastAsia" w:ascii="仿宋_GB2312" w:hAnsi="仿宋_GB2312" w:eastAsia="仿宋_GB2312" w:cs="仿宋_GB2312"/>
                <w:sz w:val="21"/>
                <w:szCs w:val="21"/>
                <w:lang w:eastAsia="zh-CN"/>
              </w:rPr>
              <w:t>受理</w:t>
            </w:r>
            <w:r>
              <w:rPr>
                <w:rFonts w:hint="eastAsia" w:ascii="仿宋_GB2312" w:hAnsi="仿宋_GB2312" w:eastAsia="仿宋_GB2312" w:cs="仿宋_GB2312"/>
                <w:sz w:val="21"/>
                <w:szCs w:val="21"/>
                <w:lang w:val="en-US" w:eastAsia="zh-CN"/>
              </w:rPr>
              <w:t>。</w:t>
            </w:r>
          </w:p>
          <w:p w14:paraId="495F3DA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val="en-US" w:eastAsia="zh-CN"/>
              </w:rPr>
              <w:t>2.调查责任：</w:t>
            </w:r>
            <w:r>
              <w:rPr>
                <w:rFonts w:hint="eastAsia" w:ascii="仿宋_GB2312" w:hAnsi="仿宋_GB2312" w:eastAsia="仿宋_GB2312" w:cs="仿宋_GB2312"/>
                <w:sz w:val="21"/>
                <w:szCs w:val="21"/>
                <w:lang w:eastAsia="zh-CN"/>
              </w:rPr>
              <w:t>对该行为是否违反</w:t>
            </w:r>
            <w:r>
              <w:rPr>
                <w:rFonts w:hint="eastAsia" w:ascii="仿宋_GB2312" w:hAnsi="仿宋_GB2312" w:eastAsia="仿宋_GB2312" w:cs="仿宋_GB2312"/>
                <w:sz w:val="21"/>
                <w:szCs w:val="21"/>
                <w:lang w:val="en-US" w:eastAsia="zh-CN"/>
              </w:rPr>
              <w:t>《中华人民共和国英雄烈士保护法》</w:t>
            </w:r>
            <w:r>
              <w:rPr>
                <w:rFonts w:hint="eastAsia" w:ascii="仿宋_GB2312" w:hAnsi="仿宋_GB2312" w:eastAsia="仿宋_GB2312" w:cs="仿宋_GB2312"/>
                <w:bCs/>
                <w:color w:val="000000"/>
                <w:sz w:val="21"/>
                <w:szCs w:val="21"/>
              </w:rPr>
              <w:t>《烈士纪念设施保护管理办法》相关规定进行调查认定。</w:t>
            </w:r>
          </w:p>
          <w:p w14:paraId="175A515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bCs/>
                <w:color w:val="000000"/>
                <w:sz w:val="21"/>
                <w:szCs w:val="21"/>
                <w:lang w:val="en-US" w:eastAsia="zh-CN"/>
              </w:rPr>
              <w:t>3.</w:t>
            </w:r>
            <w:r>
              <w:rPr>
                <w:rFonts w:hint="eastAsia" w:ascii="仿宋_GB2312" w:hAnsi="仿宋_GB2312" w:eastAsia="仿宋_GB2312" w:cs="仿宋_GB2312"/>
                <w:bCs/>
                <w:color w:val="000000"/>
                <w:sz w:val="21"/>
                <w:szCs w:val="21"/>
              </w:rPr>
              <w:t>教育责任：对</w:t>
            </w:r>
            <w:r>
              <w:rPr>
                <w:rFonts w:hint="eastAsia" w:ascii="仿宋_GB2312" w:hAnsi="仿宋_GB2312" w:eastAsia="仿宋_GB2312" w:cs="仿宋_GB2312"/>
                <w:sz w:val="21"/>
                <w:szCs w:val="21"/>
                <w:lang w:val="en-US" w:eastAsia="zh-CN"/>
              </w:rPr>
              <w:t>在英雄烈士纪念设施保护范围内从事有损纪念英雄烈士环境和氛围的活动的，给予批评教育，责令改正</w:t>
            </w:r>
            <w:r>
              <w:rPr>
                <w:rFonts w:hint="eastAsia" w:ascii="仿宋_GB2312" w:hAnsi="仿宋_GB2312" w:eastAsia="仿宋_GB2312" w:cs="仿宋_GB2312"/>
                <w:sz w:val="21"/>
                <w:szCs w:val="21"/>
                <w:lang w:eastAsia="zh-CN"/>
              </w:rPr>
              <w:t>。</w:t>
            </w:r>
          </w:p>
          <w:p w14:paraId="0405442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bCs/>
                <w:color w:val="000000"/>
                <w:szCs w:val="21"/>
              </w:rPr>
            </w:pPr>
            <w:r>
              <w:rPr>
                <w:rFonts w:hint="eastAsia" w:ascii="仿宋_GB2312" w:hAnsi="仿宋_GB2312" w:eastAsia="仿宋_GB2312" w:cs="仿宋_GB2312"/>
                <w:sz w:val="21"/>
                <w:szCs w:val="21"/>
                <w:lang w:val="en-US" w:eastAsia="zh-CN"/>
              </w:rPr>
              <w:t>4.</w:t>
            </w:r>
            <w:r>
              <w:rPr>
                <w:rFonts w:hint="eastAsia" w:ascii="仿宋_GB2312" w:hAnsi="仿宋_GB2312" w:eastAsia="仿宋_GB2312" w:cs="仿宋_GB2312"/>
                <w:sz w:val="21"/>
                <w:szCs w:val="21"/>
                <w:lang w:eastAsia="zh-CN"/>
              </w:rPr>
              <w:t>移送责任：对</w:t>
            </w:r>
            <w:r>
              <w:rPr>
                <w:rFonts w:hint="eastAsia" w:ascii="仿宋_GB2312" w:hAnsi="仿宋_GB2312" w:eastAsia="仿宋_GB2312" w:cs="仿宋_GB2312"/>
                <w:sz w:val="21"/>
                <w:szCs w:val="21"/>
                <w:lang w:val="en-US" w:eastAsia="zh-CN"/>
              </w:rPr>
              <w:t>构成违反治安管理行为，</w:t>
            </w:r>
            <w:r>
              <w:rPr>
                <w:rFonts w:hint="eastAsia" w:ascii="仿宋_GB2312" w:hAnsi="仿宋_GB2312" w:eastAsia="仿宋_GB2312" w:cs="仿宋_GB2312"/>
                <w:bCs/>
                <w:color w:val="000000"/>
                <w:szCs w:val="21"/>
              </w:rPr>
              <w:t>移送公安机关依法给予治安管理处罚</w:t>
            </w:r>
            <w:r>
              <w:rPr>
                <w:rFonts w:hint="eastAsia" w:ascii="仿宋_GB2312" w:hAnsi="仿宋_GB2312" w:eastAsia="仿宋_GB2312" w:cs="仿宋_GB2312"/>
                <w:bCs/>
                <w:color w:val="000000"/>
                <w:szCs w:val="21"/>
                <w:lang w:val="en-US" w:eastAsia="zh-CN"/>
              </w:rPr>
              <w:t>；</w:t>
            </w:r>
            <w:r>
              <w:rPr>
                <w:rFonts w:hint="eastAsia" w:ascii="仿宋_GB2312" w:hAnsi="仿宋_GB2312" w:eastAsia="仿宋_GB2312" w:cs="仿宋_GB2312"/>
                <w:bCs/>
                <w:color w:val="000000"/>
                <w:szCs w:val="21"/>
              </w:rPr>
              <w:t>构成犯罪的，移送司法机关依法追究刑事责任。</w:t>
            </w:r>
          </w:p>
          <w:p w14:paraId="37786AD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5.</w:t>
            </w:r>
            <w:r>
              <w:rPr>
                <w:rFonts w:hint="eastAsia" w:ascii="仿宋_GB2312" w:hAnsi="仿宋_GB2312" w:eastAsia="仿宋_GB2312" w:cs="仿宋_GB2312"/>
                <w:bCs/>
                <w:color w:val="000000"/>
                <w:szCs w:val="21"/>
              </w:rPr>
              <w:t>其他责任：法律法规规章文件规定应履行的其他责任。</w:t>
            </w:r>
          </w:p>
        </w:tc>
      </w:tr>
      <w:tr w14:paraId="54299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1549" w:type="dxa"/>
            <w:noWrap w:val="0"/>
            <w:vAlign w:val="center"/>
          </w:tcPr>
          <w:p w14:paraId="67D2F7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追责情形</w:t>
            </w:r>
          </w:p>
        </w:tc>
        <w:tc>
          <w:tcPr>
            <w:tcW w:w="6610" w:type="dxa"/>
            <w:noWrap w:val="0"/>
            <w:vAlign w:val="center"/>
          </w:tcPr>
          <w:p w14:paraId="34CE5C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Cs w:val="21"/>
              </w:rPr>
              <w:t xml:space="preserve"> 对不履行或不正确履行行政职责的行政机关及其工作人员，依据《中华人民共和国监察法》、《中华人民共和国退役军人保障法》、</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 w:val="21"/>
                <w:szCs w:val="21"/>
                <w:lang w:val="en-US" w:eastAsia="zh-CN"/>
              </w:rPr>
              <w:t>中华人民共和国英雄烈士保护法</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bCs/>
                <w:color w:val="000000"/>
                <w:szCs w:val="21"/>
              </w:rPr>
              <w:t>《行政机关公务员处分条例》、</w:t>
            </w:r>
            <w:r>
              <w:rPr>
                <w:rFonts w:hint="eastAsia" w:ascii="仿宋_GB2312" w:hAnsi="仿宋_GB2312" w:eastAsia="仿宋_GB2312" w:cs="仿宋_GB2312"/>
                <w:bCs/>
                <w:color w:val="000000"/>
                <w:szCs w:val="21"/>
                <w:lang w:eastAsia="zh-CN"/>
              </w:rPr>
              <w:t>《</w:t>
            </w:r>
            <w:r>
              <w:rPr>
                <w:rFonts w:hint="eastAsia" w:ascii="仿宋_GB2312" w:hAnsi="仿宋_GB2312" w:eastAsia="仿宋_GB2312" w:cs="仿宋_GB2312"/>
                <w:bCs/>
                <w:color w:val="000000"/>
                <w:szCs w:val="21"/>
              </w:rPr>
              <w:t>烈士纪念设施保护管理办法》</w:t>
            </w:r>
            <w:r>
              <w:rPr>
                <w:rFonts w:hint="eastAsia" w:ascii="仿宋_GB2312" w:hAnsi="仿宋_GB2312" w:eastAsia="仿宋_GB2312" w:cs="仿宋_GB2312"/>
                <w:bCs/>
                <w:color w:val="000000"/>
                <w:szCs w:val="21"/>
                <w:lang w:eastAsia="zh-CN"/>
              </w:rPr>
              <w:t>、</w:t>
            </w:r>
            <w:r>
              <w:rPr>
                <w:rFonts w:hint="eastAsia" w:ascii="仿宋_GB2312" w:hAnsi="仿宋_GB2312" w:eastAsia="仿宋_GB2312" w:cs="仿宋_GB2312"/>
                <w:bCs/>
                <w:color w:val="000000"/>
                <w:szCs w:val="21"/>
              </w:rPr>
              <w:t>《四川省行政执法监督条例》、《四川省行政审批违法违纪行为责任追究办法》等法律法规规章的相关规定追究相应的责任。</w:t>
            </w:r>
          </w:p>
        </w:tc>
      </w:tr>
      <w:tr w14:paraId="05093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1549" w:type="dxa"/>
            <w:noWrap w:val="0"/>
            <w:vAlign w:val="center"/>
          </w:tcPr>
          <w:p w14:paraId="05181D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监督电话</w:t>
            </w:r>
          </w:p>
        </w:tc>
        <w:tc>
          <w:tcPr>
            <w:tcW w:w="6610" w:type="dxa"/>
            <w:noWrap w:val="0"/>
            <w:vAlign w:val="center"/>
          </w:tcPr>
          <w:p w14:paraId="06C702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62CCE009"/>
    <w:tbl>
      <w:tblPr>
        <w:tblStyle w:val="6"/>
        <w:tblpPr w:leftFromText="180" w:rightFromText="180" w:vertAnchor="text" w:horzAnchor="page" w:tblpXSpec="center" w:tblpY="223"/>
        <w:tblOverlap w:val="never"/>
        <w:tblW w:w="821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09"/>
        <w:gridCol w:w="6610"/>
      </w:tblGrid>
      <w:tr w14:paraId="6AD54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 w:hRule="atLeast"/>
          <w:jc w:val="center"/>
        </w:trPr>
        <w:tc>
          <w:tcPr>
            <w:tcW w:w="1609" w:type="dxa"/>
            <w:noWrap w:val="0"/>
            <w:vAlign w:val="center"/>
          </w:tcPr>
          <w:p w14:paraId="471DAA48">
            <w:pPr>
              <w:keepNext w:val="0"/>
              <w:keepLines w:val="0"/>
              <w:pageBreakBefore w:val="0"/>
              <w:widowControl w:val="0"/>
              <w:kinsoku/>
              <w:wordWrap/>
              <w:overflowPunct/>
              <w:topLinePunct w:val="0"/>
              <w:autoSpaceDE/>
              <w:autoSpaceDN/>
              <w:bidi w:val="0"/>
              <w:adjustRightInd/>
              <w:snapToGrid/>
              <w:spacing w:line="240" w:lineRule="auto"/>
              <w:ind w:left="46" w:leftChars="22"/>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序号</w:t>
            </w:r>
          </w:p>
        </w:tc>
        <w:tc>
          <w:tcPr>
            <w:tcW w:w="6610" w:type="dxa"/>
            <w:noWrap w:val="0"/>
            <w:vAlign w:val="center"/>
          </w:tcPr>
          <w:p w14:paraId="7F954DD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lang w:val="en-US" w:eastAsia="zh-CN"/>
              </w:rPr>
              <w:t>13</w:t>
            </w:r>
          </w:p>
        </w:tc>
      </w:tr>
      <w:tr w14:paraId="5A469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1609" w:type="dxa"/>
            <w:noWrap w:val="0"/>
            <w:vAlign w:val="center"/>
          </w:tcPr>
          <w:p w14:paraId="69359F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权力类型</w:t>
            </w:r>
          </w:p>
        </w:tc>
        <w:tc>
          <w:tcPr>
            <w:tcW w:w="6610" w:type="dxa"/>
            <w:noWrap w:val="0"/>
            <w:vAlign w:val="center"/>
          </w:tcPr>
          <w:p w14:paraId="36BE61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eastAsia="zh-CN"/>
              </w:rPr>
              <w:t>其他行政权力</w:t>
            </w:r>
          </w:p>
        </w:tc>
      </w:tr>
      <w:tr w14:paraId="345B6F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4" w:hRule="atLeast"/>
          <w:jc w:val="center"/>
        </w:trPr>
        <w:tc>
          <w:tcPr>
            <w:tcW w:w="1609" w:type="dxa"/>
            <w:noWrap w:val="0"/>
            <w:vAlign w:val="center"/>
          </w:tcPr>
          <w:p w14:paraId="679F5EF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权力项目名称</w:t>
            </w:r>
          </w:p>
        </w:tc>
        <w:tc>
          <w:tcPr>
            <w:tcW w:w="6610" w:type="dxa"/>
            <w:noWrap w:val="0"/>
            <w:vAlign w:val="center"/>
          </w:tcPr>
          <w:p w14:paraId="5E0085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val="en-US" w:eastAsia="zh-CN"/>
              </w:rPr>
              <w:t>依法处理违反英雄烈士纪念设施保护规定的行为</w:t>
            </w:r>
            <w:r>
              <w:rPr>
                <w:rFonts w:hint="eastAsia" w:ascii="仿宋_GB2312" w:hAnsi="仿宋_GB2312" w:eastAsia="仿宋_GB2312" w:cs="仿宋_GB2312"/>
                <w:sz w:val="21"/>
                <w:szCs w:val="21"/>
                <w:lang w:val="en-US" w:eastAsia="zh-CN"/>
              </w:rPr>
              <w:tab/>
            </w:r>
          </w:p>
        </w:tc>
      </w:tr>
      <w:tr w14:paraId="753E9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33" w:hRule="atLeast"/>
          <w:jc w:val="center"/>
        </w:trPr>
        <w:tc>
          <w:tcPr>
            <w:tcW w:w="1609" w:type="dxa"/>
            <w:noWrap w:val="0"/>
            <w:vAlign w:val="center"/>
          </w:tcPr>
          <w:p w14:paraId="6AD3EB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实施依据</w:t>
            </w:r>
          </w:p>
        </w:tc>
        <w:tc>
          <w:tcPr>
            <w:tcW w:w="6610" w:type="dxa"/>
            <w:noWrap w:val="0"/>
            <w:vAlign w:val="center"/>
          </w:tcPr>
          <w:p w14:paraId="2ADBC20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1.《中华人民共和国英雄烈士保护法》第二十八条 侵占、破坏、污损英雄烈士纪念设施的，由县级以上人民政府负责英雄烈士保护工作的部门责令改正；造成损失的，依法承担民事责任；被侵占、破坏、污损的纪念设施属于文物保护单位的，依照《中华人民共和国文物保护法》的规定处罚；构成违反治安管理行为的，由公安机关依法给予治安管理处罚；构成犯罪的，依法追究刑事责任。</w:t>
            </w:r>
          </w:p>
          <w:p w14:paraId="648E92A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2.《烈士褒扬条例》第三十七条 未经批准迁移烈士纪念设施，非法侵占烈士纪念设施保护范围内的土地、设施，破坏、污损烈士纪念设施，或者在烈士纪念设施保护范围内为烈士以外的其他人修建纪念设施、安放骨灰、埋葬遗体的，由烈士纪念设施保护单位的上级主管部门责令改正，恢复原状、原貌；造成损失的，依法承担赔偿责任；构成犯罪的，依法追究刑事责任。</w:t>
            </w:r>
          </w:p>
          <w:p w14:paraId="3DA33953">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21"/>
                <w:szCs w:val="21"/>
                <w:lang w:val="en-US" w:eastAsia="zh-CN"/>
              </w:rPr>
              <w:t>3.《烈士纪念设施保护管理办法》第三十四条 非法侵占烈士纪念设施保护范围内的土地、设施，破坏、污损烈士纪念设施，或者在烈士纪念设施保护范围内为不符合安葬条件的人员修建纪念设施、安葬或安放骨灰或者遗体的，由所在地县级以上人民政府退役军人工作主管部门责令改正，恢复原状、原貌；造成损失的，依法承担民事责任。</w:t>
            </w:r>
          </w:p>
        </w:tc>
      </w:tr>
      <w:tr w14:paraId="13291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1609" w:type="dxa"/>
            <w:noWrap w:val="0"/>
            <w:vAlign w:val="center"/>
          </w:tcPr>
          <w:p w14:paraId="69A860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责任主体</w:t>
            </w:r>
          </w:p>
        </w:tc>
        <w:tc>
          <w:tcPr>
            <w:tcW w:w="6610" w:type="dxa"/>
            <w:noWrap w:val="0"/>
            <w:vAlign w:val="center"/>
          </w:tcPr>
          <w:p w14:paraId="0A7B0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lang w:val="en-US" w:eastAsia="zh-CN"/>
              </w:rPr>
            </w:pPr>
            <w:r>
              <w:rPr>
                <w:rFonts w:hint="eastAsia" w:ascii="仿宋_GB2312" w:hAnsi="仿宋_GB2312" w:eastAsia="仿宋_GB2312" w:cs="仿宋_GB2312"/>
                <w:bCs/>
                <w:color w:val="000000"/>
                <w:sz w:val="21"/>
                <w:szCs w:val="21"/>
                <w:lang w:val="en-US" w:eastAsia="zh-CN"/>
              </w:rPr>
              <w:t>优抚褒扬科</w:t>
            </w:r>
          </w:p>
        </w:tc>
      </w:tr>
      <w:tr w14:paraId="6DA3C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39" w:hRule="atLeast"/>
          <w:jc w:val="center"/>
        </w:trPr>
        <w:tc>
          <w:tcPr>
            <w:tcW w:w="1609" w:type="dxa"/>
            <w:noWrap w:val="0"/>
            <w:vAlign w:val="center"/>
          </w:tcPr>
          <w:p w14:paraId="6F382E1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责任事项</w:t>
            </w:r>
          </w:p>
        </w:tc>
        <w:tc>
          <w:tcPr>
            <w:tcW w:w="6610" w:type="dxa"/>
            <w:noWrap w:val="0"/>
            <w:vAlign w:val="center"/>
          </w:tcPr>
          <w:p w14:paraId="13EDB7A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1.受理责任：对依据监督检查职权或者通过举报、投诉、其他部门移送、上级部门交办等途径发现的违法行为线索，决定是否受理。</w:t>
            </w:r>
          </w:p>
          <w:p w14:paraId="3E354B0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2.调查责任：对该行为是否违反相关规定进行调查认定。</w:t>
            </w:r>
          </w:p>
          <w:p w14:paraId="48249C7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3.督促责任：对违法行为责令整改，恢复原状、原貌；造成损失的，督促依法承担民事责任。</w:t>
            </w:r>
          </w:p>
          <w:p w14:paraId="3F4413C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4.执行责任：对逾期不履行的，依照《行政强制法》的规定执行。</w:t>
            </w:r>
          </w:p>
          <w:p w14:paraId="2C584AE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5.移送责任：对违反《中华人民共和国文物保护法》相关规定的移送文物保护部门依法处理；对违反治安管理的，移送公安机关依法给予治安管理处罚；构成犯罪的，移送司法机关依法追究刑事责任。</w:t>
            </w:r>
          </w:p>
          <w:p w14:paraId="4F0B148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sz w:val="21"/>
                <w:szCs w:val="21"/>
                <w:lang w:val="en-US" w:eastAsia="zh-CN"/>
              </w:rPr>
              <w:t>6.其他责任：法律法规规章文件规定应履行的其他责任。</w:t>
            </w:r>
          </w:p>
        </w:tc>
      </w:tr>
      <w:tr w14:paraId="7BE05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1609" w:type="dxa"/>
            <w:noWrap w:val="0"/>
            <w:vAlign w:val="center"/>
          </w:tcPr>
          <w:p w14:paraId="656B05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追责情形</w:t>
            </w:r>
          </w:p>
        </w:tc>
        <w:tc>
          <w:tcPr>
            <w:tcW w:w="6610" w:type="dxa"/>
            <w:noWrap w:val="0"/>
            <w:vAlign w:val="center"/>
          </w:tcPr>
          <w:p w14:paraId="17B4493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bCs/>
                <w:color w:val="000000"/>
                <w:szCs w:val="21"/>
              </w:rPr>
              <w:t xml:space="preserve"> 对不履行或不正确履行行政职责的行政机关及其工作人员，依据《中华人民共和国监察法》、《中华人民共和国退役军人保障法》、</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 w:val="21"/>
                <w:szCs w:val="21"/>
                <w:lang w:val="en-US" w:eastAsia="zh-CN"/>
              </w:rPr>
              <w:t>中华人民共和国英雄烈士保护法</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bCs/>
                <w:color w:val="000000"/>
                <w:szCs w:val="21"/>
              </w:rPr>
              <w:t>《行政机关公务员处分条例》、</w:t>
            </w:r>
            <w:r>
              <w:rPr>
                <w:rFonts w:hint="eastAsia" w:ascii="仿宋_GB2312" w:hAnsi="仿宋_GB2312" w:eastAsia="仿宋_GB2312" w:cs="仿宋_GB2312"/>
                <w:bCs/>
                <w:color w:val="000000"/>
                <w:szCs w:val="21"/>
                <w:lang w:eastAsia="zh-CN"/>
              </w:rPr>
              <w:t>《</w:t>
            </w:r>
            <w:r>
              <w:rPr>
                <w:rFonts w:hint="eastAsia" w:ascii="仿宋_GB2312" w:hAnsi="仿宋_GB2312" w:eastAsia="仿宋_GB2312" w:cs="仿宋_GB2312"/>
                <w:bCs/>
                <w:color w:val="000000"/>
                <w:szCs w:val="21"/>
              </w:rPr>
              <w:t>烈士纪念设施保护管理办法》</w:t>
            </w:r>
            <w:r>
              <w:rPr>
                <w:rFonts w:hint="eastAsia" w:ascii="仿宋_GB2312" w:hAnsi="仿宋_GB2312" w:eastAsia="仿宋_GB2312" w:cs="仿宋_GB2312"/>
                <w:bCs/>
                <w:color w:val="000000"/>
                <w:szCs w:val="21"/>
                <w:lang w:eastAsia="zh-CN"/>
              </w:rPr>
              <w:t>、</w:t>
            </w:r>
            <w:r>
              <w:rPr>
                <w:rFonts w:hint="eastAsia" w:ascii="仿宋_GB2312" w:hAnsi="仿宋_GB2312" w:eastAsia="仿宋_GB2312" w:cs="仿宋_GB2312"/>
                <w:bCs/>
                <w:color w:val="000000"/>
                <w:szCs w:val="21"/>
              </w:rPr>
              <w:t>《四川省行政执法监督条例》、《四川省行政审批违法违纪行为责任追究办法》等法律法规规章的相关规定追究相应的责任。</w:t>
            </w:r>
          </w:p>
        </w:tc>
      </w:tr>
      <w:tr w14:paraId="3CBF0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1609" w:type="dxa"/>
            <w:noWrap w:val="0"/>
            <w:vAlign w:val="center"/>
          </w:tcPr>
          <w:p w14:paraId="4EC95B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监督电话</w:t>
            </w:r>
          </w:p>
        </w:tc>
        <w:tc>
          <w:tcPr>
            <w:tcW w:w="6610" w:type="dxa"/>
            <w:noWrap w:val="0"/>
            <w:vAlign w:val="center"/>
          </w:tcPr>
          <w:p w14:paraId="085EB3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Cs/>
                <w:color w:val="000000"/>
                <w:sz w:val="21"/>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24CF8A8D">
      <w:pPr>
        <w:rPr>
          <w:rFonts w:hint="eastAsia" w:ascii="宋体"/>
          <w:color w:val="000000"/>
          <w:szCs w:val="21"/>
        </w:rPr>
      </w:pPr>
    </w:p>
    <w:tbl>
      <w:tblPr>
        <w:tblStyle w:val="6"/>
        <w:tblW w:w="0" w:type="auto"/>
        <w:tblInd w:w="34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60"/>
        <w:gridCol w:w="6610"/>
      </w:tblGrid>
      <w:tr w14:paraId="060DA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660" w:type="dxa"/>
            <w:noWrap w:val="0"/>
            <w:vAlign w:val="center"/>
          </w:tcPr>
          <w:p w14:paraId="13DBB23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序号</w:t>
            </w:r>
          </w:p>
        </w:tc>
        <w:tc>
          <w:tcPr>
            <w:tcW w:w="6610" w:type="dxa"/>
            <w:noWrap w:val="0"/>
            <w:vAlign w:val="center"/>
          </w:tcPr>
          <w:p w14:paraId="2001404C">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rPr>
              <w:t>1</w:t>
            </w:r>
            <w:r>
              <w:rPr>
                <w:rFonts w:hint="eastAsia" w:ascii="仿宋_GB2312" w:hAnsi="仿宋_GB2312" w:eastAsia="仿宋_GB2312" w:cs="仿宋_GB2312"/>
                <w:bCs/>
                <w:color w:val="000000"/>
                <w:szCs w:val="21"/>
                <w:lang w:val="en-US" w:eastAsia="zh-CN"/>
              </w:rPr>
              <w:t>4</w:t>
            </w:r>
          </w:p>
        </w:tc>
      </w:tr>
      <w:tr w14:paraId="2A421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660" w:type="dxa"/>
            <w:noWrap w:val="0"/>
            <w:vAlign w:val="center"/>
          </w:tcPr>
          <w:p w14:paraId="48713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权力类型</w:t>
            </w:r>
          </w:p>
        </w:tc>
        <w:tc>
          <w:tcPr>
            <w:tcW w:w="6610" w:type="dxa"/>
            <w:noWrap w:val="0"/>
            <w:vAlign w:val="center"/>
          </w:tcPr>
          <w:p w14:paraId="56CC89CE">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Cs w:val="21"/>
                <w:lang w:eastAsia="zh-CN"/>
              </w:rPr>
              <w:t>其他行政权力</w:t>
            </w:r>
          </w:p>
        </w:tc>
      </w:tr>
      <w:tr w14:paraId="7C6175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660" w:type="dxa"/>
            <w:noWrap w:val="0"/>
            <w:vAlign w:val="center"/>
          </w:tcPr>
          <w:p w14:paraId="7AA1415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权力项目名称</w:t>
            </w:r>
          </w:p>
        </w:tc>
        <w:tc>
          <w:tcPr>
            <w:tcW w:w="6610" w:type="dxa"/>
            <w:noWrap w:val="0"/>
            <w:vAlign w:val="center"/>
          </w:tcPr>
          <w:p w14:paraId="454F4686">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Cs w:val="21"/>
                <w:lang w:val="en-US" w:eastAsia="zh-CN"/>
              </w:rPr>
              <w:t>依法处理侵占、破坏光荣院财物的行为</w:t>
            </w:r>
            <w:r>
              <w:rPr>
                <w:rFonts w:hint="eastAsia" w:ascii="仿宋_GB2312" w:hAnsi="仿宋_GB2312" w:eastAsia="仿宋_GB2312" w:cs="仿宋_GB2312"/>
                <w:color w:val="000000"/>
                <w:szCs w:val="21"/>
              </w:rPr>
              <w:tab/>
            </w:r>
          </w:p>
        </w:tc>
      </w:tr>
      <w:tr w14:paraId="7469F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60" w:type="dxa"/>
            <w:noWrap w:val="0"/>
            <w:vAlign w:val="center"/>
          </w:tcPr>
          <w:p w14:paraId="6CD0B1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实施依据</w:t>
            </w:r>
          </w:p>
        </w:tc>
        <w:tc>
          <w:tcPr>
            <w:tcW w:w="6610" w:type="dxa"/>
            <w:noWrap w:val="0"/>
            <w:vAlign w:val="center"/>
          </w:tcPr>
          <w:p w14:paraId="3538E07E">
            <w:pPr>
              <w:rPr>
                <w:rFonts w:hint="eastAsia" w:ascii="仿宋_GB2312" w:hAnsi="仿宋_GB2312" w:eastAsia="仿宋_GB2312" w:cs="仿宋_GB2312"/>
                <w:bCs/>
                <w:color w:val="000000"/>
                <w:szCs w:val="21"/>
                <w:lang w:val="en-US" w:eastAsia="zh-CN"/>
              </w:rPr>
            </w:pPr>
          </w:p>
          <w:p w14:paraId="28170C2D">
            <w:pP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 xml:space="preserve">    《光荣院管理办法》（2020年4月退役军人事务部令第3号）第三十一条：“光荣院的土地、房屋、设施、设备和其他财产依法归光荣院管理和使用，任何单位和个人不得侵占。侵占、破坏光荣院财物的，由当地人民政府退役军人事务部门责令限期改正，并恢复原状；造成损失的，依法承担赔偿责任。”</w:t>
            </w:r>
          </w:p>
          <w:p w14:paraId="7FA74253">
            <w:pPr>
              <w:rPr>
                <w:rFonts w:hint="eastAsia" w:ascii="仿宋_GB2312" w:hAnsi="仿宋_GB2312" w:eastAsia="仿宋_GB2312" w:cs="仿宋_GB2312"/>
                <w:bCs/>
                <w:color w:val="000000"/>
                <w:szCs w:val="21"/>
                <w:lang w:val="en-US" w:eastAsia="zh-CN"/>
              </w:rPr>
            </w:pPr>
          </w:p>
        </w:tc>
      </w:tr>
      <w:tr w14:paraId="53B41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660" w:type="dxa"/>
            <w:noWrap w:val="0"/>
            <w:vAlign w:val="center"/>
          </w:tcPr>
          <w:p w14:paraId="090F1D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责任主体</w:t>
            </w:r>
          </w:p>
        </w:tc>
        <w:tc>
          <w:tcPr>
            <w:tcW w:w="6610" w:type="dxa"/>
            <w:noWrap w:val="0"/>
            <w:vAlign w:val="center"/>
          </w:tcPr>
          <w:p w14:paraId="733B2CBD">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优抚褒扬科</w:t>
            </w:r>
          </w:p>
        </w:tc>
      </w:tr>
      <w:tr w14:paraId="58C1D7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61" w:hRule="atLeast"/>
        </w:trPr>
        <w:tc>
          <w:tcPr>
            <w:tcW w:w="1660" w:type="dxa"/>
            <w:noWrap w:val="0"/>
            <w:vAlign w:val="center"/>
          </w:tcPr>
          <w:p w14:paraId="504066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责任事项</w:t>
            </w:r>
          </w:p>
        </w:tc>
        <w:tc>
          <w:tcPr>
            <w:tcW w:w="6610" w:type="dxa"/>
            <w:noWrap w:val="0"/>
            <w:vAlign w:val="center"/>
          </w:tcPr>
          <w:p w14:paraId="24F19F64">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1.调查责任：对侵占、破坏情况及时组织调查取证，询问或者检查应当制作笔录。</w:t>
            </w:r>
          </w:p>
          <w:p w14:paraId="39A97130">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2.审查责任：对违法违规事实、调查证据等进行审查，提出处理意见。</w:t>
            </w:r>
          </w:p>
          <w:p w14:paraId="5EED9759">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3.</w:t>
            </w:r>
            <w:r>
              <w:rPr>
                <w:rFonts w:hint="eastAsia" w:ascii="仿宋_GB2312" w:hAnsi="仿宋_GB2312" w:eastAsia="仿宋_GB2312" w:cs="仿宋_GB2312"/>
                <w:bCs/>
                <w:color w:val="000000"/>
                <w:szCs w:val="21"/>
                <w:lang w:eastAsia="zh-CN"/>
              </w:rPr>
              <w:t>决定</w:t>
            </w:r>
            <w:r>
              <w:rPr>
                <w:rFonts w:hint="eastAsia" w:ascii="仿宋_GB2312" w:hAnsi="仿宋_GB2312" w:eastAsia="仿宋_GB2312" w:cs="仿宋_GB2312"/>
                <w:bCs/>
                <w:color w:val="000000"/>
                <w:szCs w:val="21"/>
              </w:rPr>
              <w:t>责任：作出处理决定。</w:t>
            </w:r>
          </w:p>
          <w:p w14:paraId="58DAEBDD">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4.其他责任：法律法规规章文件规定应履行的其他责任。</w:t>
            </w:r>
          </w:p>
        </w:tc>
      </w:tr>
      <w:tr w14:paraId="480F0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7" w:hRule="atLeast"/>
        </w:trPr>
        <w:tc>
          <w:tcPr>
            <w:tcW w:w="1660" w:type="dxa"/>
            <w:noWrap w:val="0"/>
            <w:vAlign w:val="center"/>
          </w:tcPr>
          <w:p w14:paraId="5598500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追责情形</w:t>
            </w:r>
          </w:p>
        </w:tc>
        <w:tc>
          <w:tcPr>
            <w:tcW w:w="6610" w:type="dxa"/>
            <w:noWrap w:val="0"/>
            <w:vAlign w:val="center"/>
          </w:tcPr>
          <w:p w14:paraId="61B935D1">
            <w:pPr>
              <w:ind w:firstLine="420" w:firstLineChars="200"/>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对不履行或不正确履行行政职责的行政机关及其工作人员，依据《中华人民共和国监察法》、《中华人民共和国退役军人保障法》、《行政机关公务员处分条例》、《四川省行政执法监督条例》、</w:t>
            </w:r>
            <w:r>
              <w:rPr>
                <w:rFonts w:hint="eastAsia" w:ascii="仿宋_GB2312" w:hAnsi="仿宋_GB2312" w:eastAsia="仿宋_GB2312" w:cs="仿宋_GB2312"/>
                <w:bCs/>
                <w:color w:val="000000"/>
                <w:szCs w:val="21"/>
                <w:lang w:val="en-US" w:eastAsia="zh-CN"/>
              </w:rPr>
              <w:t>《光荣院管理办法》</w:t>
            </w:r>
            <w:r>
              <w:rPr>
                <w:rFonts w:hint="eastAsia" w:ascii="仿宋_GB2312" w:hAnsi="仿宋_GB2312" w:eastAsia="仿宋_GB2312" w:cs="仿宋_GB2312"/>
                <w:bCs/>
                <w:color w:val="000000"/>
                <w:szCs w:val="21"/>
              </w:rPr>
              <w:t>、《四川省行政审批违法违纪行为责任追究办法》等法律法规规章的相关规定追究相应的责任。</w:t>
            </w:r>
          </w:p>
          <w:p w14:paraId="3E2CB868">
            <w:pPr>
              <w:rPr>
                <w:rFonts w:hint="eastAsia" w:ascii="仿宋_GB2312" w:hAnsi="仿宋_GB2312" w:eastAsia="仿宋_GB2312" w:cs="仿宋_GB2312"/>
                <w:bCs/>
                <w:color w:val="000000"/>
                <w:szCs w:val="21"/>
              </w:rPr>
            </w:pPr>
          </w:p>
        </w:tc>
      </w:tr>
      <w:tr w14:paraId="6D72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660" w:type="dxa"/>
            <w:noWrap w:val="0"/>
            <w:vAlign w:val="center"/>
          </w:tcPr>
          <w:p w14:paraId="32BE55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监督电话</w:t>
            </w:r>
          </w:p>
        </w:tc>
        <w:tc>
          <w:tcPr>
            <w:tcW w:w="6610" w:type="dxa"/>
            <w:noWrap w:val="0"/>
            <w:vAlign w:val="center"/>
          </w:tcPr>
          <w:p w14:paraId="313BFEBB">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7E6CBB6F">
      <w:pPr>
        <w:rPr>
          <w:rFonts w:hint="eastAsia" w:ascii="宋体"/>
          <w:color w:val="000000"/>
          <w:szCs w:val="21"/>
        </w:rPr>
      </w:pPr>
    </w:p>
    <w:tbl>
      <w:tblPr>
        <w:tblStyle w:val="6"/>
        <w:tblW w:w="0" w:type="auto"/>
        <w:tblInd w:w="3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70"/>
        <w:gridCol w:w="6610"/>
      </w:tblGrid>
      <w:tr w14:paraId="51442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670" w:type="dxa"/>
            <w:noWrap w:val="0"/>
            <w:vAlign w:val="center"/>
          </w:tcPr>
          <w:p w14:paraId="5746E0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序号</w:t>
            </w:r>
          </w:p>
        </w:tc>
        <w:tc>
          <w:tcPr>
            <w:tcW w:w="6610" w:type="dxa"/>
            <w:noWrap w:val="0"/>
            <w:vAlign w:val="center"/>
          </w:tcPr>
          <w:p w14:paraId="33C9764A">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rPr>
              <w:t>1</w:t>
            </w:r>
            <w:r>
              <w:rPr>
                <w:rFonts w:hint="eastAsia" w:ascii="仿宋_GB2312" w:hAnsi="仿宋_GB2312" w:eastAsia="仿宋_GB2312" w:cs="仿宋_GB2312"/>
                <w:bCs/>
                <w:color w:val="000000"/>
                <w:szCs w:val="21"/>
                <w:lang w:val="en-US" w:eastAsia="zh-CN"/>
              </w:rPr>
              <w:t>5</w:t>
            </w:r>
          </w:p>
        </w:tc>
      </w:tr>
      <w:tr w14:paraId="4F5ED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670" w:type="dxa"/>
            <w:noWrap w:val="0"/>
            <w:vAlign w:val="center"/>
          </w:tcPr>
          <w:p w14:paraId="24D289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权力类型</w:t>
            </w:r>
          </w:p>
        </w:tc>
        <w:tc>
          <w:tcPr>
            <w:tcW w:w="6610" w:type="dxa"/>
            <w:noWrap w:val="0"/>
            <w:vAlign w:val="center"/>
          </w:tcPr>
          <w:p w14:paraId="5198E8F2">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Cs w:val="21"/>
                <w:lang w:eastAsia="zh-CN"/>
              </w:rPr>
              <w:t>其他行政权力</w:t>
            </w:r>
          </w:p>
        </w:tc>
      </w:tr>
      <w:tr w14:paraId="3F2AD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670" w:type="dxa"/>
            <w:noWrap w:val="0"/>
            <w:vAlign w:val="center"/>
          </w:tcPr>
          <w:p w14:paraId="62877E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权力项目名称</w:t>
            </w:r>
          </w:p>
        </w:tc>
        <w:tc>
          <w:tcPr>
            <w:tcW w:w="6610" w:type="dxa"/>
            <w:noWrap w:val="0"/>
            <w:vAlign w:val="center"/>
          </w:tcPr>
          <w:p w14:paraId="78D0EFC6">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Cs w:val="21"/>
                <w:lang w:val="en-US" w:eastAsia="zh-CN"/>
              </w:rPr>
              <w:t>依法处理侵占、破坏优抚医院财物的行为</w:t>
            </w:r>
            <w:r>
              <w:rPr>
                <w:rFonts w:hint="eastAsia" w:ascii="仿宋_GB2312" w:hAnsi="仿宋_GB2312" w:eastAsia="仿宋_GB2312" w:cs="仿宋_GB2312"/>
                <w:color w:val="000000"/>
                <w:szCs w:val="21"/>
              </w:rPr>
              <w:tab/>
            </w:r>
          </w:p>
        </w:tc>
      </w:tr>
      <w:tr w14:paraId="1B432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70" w:type="dxa"/>
            <w:noWrap w:val="0"/>
            <w:vAlign w:val="center"/>
          </w:tcPr>
          <w:p w14:paraId="7E43DC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实施依据</w:t>
            </w:r>
          </w:p>
        </w:tc>
        <w:tc>
          <w:tcPr>
            <w:tcW w:w="6610" w:type="dxa"/>
            <w:noWrap w:val="0"/>
            <w:vAlign w:val="center"/>
          </w:tcPr>
          <w:p w14:paraId="028EE82C">
            <w:pPr>
              <w:ind w:firstLine="420" w:firstLineChars="200"/>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lang w:eastAsia="zh-CN"/>
              </w:rPr>
              <w:t>《</w:t>
            </w:r>
            <w:r>
              <w:rPr>
                <w:rFonts w:hint="eastAsia" w:ascii="仿宋_GB2312" w:hAnsi="仿宋_GB2312" w:eastAsia="仿宋_GB2312" w:cs="仿宋_GB2312"/>
                <w:bCs/>
                <w:color w:val="000000"/>
                <w:szCs w:val="21"/>
              </w:rPr>
              <w:t>优抚医院管理办法</w:t>
            </w:r>
            <w:r>
              <w:rPr>
                <w:rFonts w:hint="eastAsia" w:ascii="仿宋_GB2312" w:hAnsi="仿宋_GB2312" w:eastAsia="仿宋_GB2312" w:cs="仿宋_GB2312"/>
                <w:bCs/>
                <w:color w:val="000000"/>
                <w:szCs w:val="21"/>
                <w:lang w:eastAsia="zh-CN"/>
              </w:rPr>
              <w:t>》</w:t>
            </w:r>
            <w:r>
              <w:rPr>
                <w:rFonts w:hint="eastAsia" w:ascii="仿宋_GB2312" w:hAnsi="仿宋_GB2312" w:eastAsia="仿宋_GB2312" w:cs="仿宋_GB2312"/>
                <w:bCs/>
                <w:color w:val="000000"/>
                <w:szCs w:val="21"/>
              </w:rPr>
              <w:t>（民政部令第41号公布，退役军人事务部、国家卫生健康委员会、国家医疗保障局令第7号修订）第二十九条：“优抚医院的土地、房屋、设施、设备和其他财产归优抚医院管理和使用，任何单位和个人不得侵占。侵占、破坏优抚医院财产的，由当地人民政府退役军人工作主管部门责令限期改正；造成损失的，依法承担赔偿责任。”</w:t>
            </w:r>
          </w:p>
        </w:tc>
      </w:tr>
      <w:tr w14:paraId="42FEE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670" w:type="dxa"/>
            <w:noWrap w:val="0"/>
            <w:vAlign w:val="center"/>
          </w:tcPr>
          <w:p w14:paraId="3DE19F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责任主体</w:t>
            </w:r>
          </w:p>
        </w:tc>
        <w:tc>
          <w:tcPr>
            <w:tcW w:w="6610" w:type="dxa"/>
            <w:noWrap w:val="0"/>
            <w:vAlign w:val="center"/>
          </w:tcPr>
          <w:p w14:paraId="64DCD639">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优抚褒扬科</w:t>
            </w:r>
          </w:p>
        </w:tc>
      </w:tr>
      <w:tr w14:paraId="57DFB4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72" w:hRule="atLeast"/>
        </w:trPr>
        <w:tc>
          <w:tcPr>
            <w:tcW w:w="1670" w:type="dxa"/>
            <w:noWrap w:val="0"/>
            <w:vAlign w:val="center"/>
          </w:tcPr>
          <w:p w14:paraId="5CCED2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责任事项</w:t>
            </w:r>
          </w:p>
        </w:tc>
        <w:tc>
          <w:tcPr>
            <w:tcW w:w="6610" w:type="dxa"/>
            <w:noWrap w:val="0"/>
            <w:vAlign w:val="center"/>
          </w:tcPr>
          <w:p w14:paraId="1B624547">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1.调查责任：对侵占、破坏情况及时组织调查取证，询问或者检查应当制作笔录。</w:t>
            </w:r>
          </w:p>
          <w:p w14:paraId="44E0282F">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2.审查责任：对违法违规事实、调查证据等进行审查，提出处理意见。</w:t>
            </w:r>
          </w:p>
          <w:p w14:paraId="21D56676">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3.</w:t>
            </w:r>
            <w:r>
              <w:rPr>
                <w:rFonts w:hint="eastAsia" w:ascii="仿宋_GB2312" w:hAnsi="仿宋_GB2312" w:eastAsia="仿宋_GB2312" w:cs="仿宋_GB2312"/>
                <w:bCs/>
                <w:color w:val="000000"/>
                <w:szCs w:val="21"/>
                <w:lang w:eastAsia="zh-CN"/>
              </w:rPr>
              <w:t>决定</w:t>
            </w:r>
            <w:r>
              <w:rPr>
                <w:rFonts w:hint="eastAsia" w:ascii="仿宋_GB2312" w:hAnsi="仿宋_GB2312" w:eastAsia="仿宋_GB2312" w:cs="仿宋_GB2312"/>
                <w:bCs/>
                <w:color w:val="000000"/>
                <w:szCs w:val="21"/>
              </w:rPr>
              <w:t>责任：作出处理决定。</w:t>
            </w:r>
          </w:p>
          <w:p w14:paraId="4390F2C4">
            <w:pPr>
              <w:ind w:firstLine="419"/>
              <w:rPr>
                <w:rFonts w:hint="eastAsia" w:ascii="仿宋_GB2312" w:hAnsi="仿宋_GB2312" w:eastAsia="仿宋_GB2312" w:cs="仿宋_GB2312"/>
                <w:bCs/>
                <w:color w:val="000000"/>
                <w:kern w:val="2"/>
                <w:sz w:val="21"/>
                <w:szCs w:val="21"/>
                <w:lang w:val="en-US" w:eastAsia="zh-CN" w:bidi="ar-SA"/>
              </w:rPr>
            </w:pPr>
            <w:r>
              <w:rPr>
                <w:rFonts w:hint="eastAsia" w:ascii="仿宋_GB2312" w:hAnsi="仿宋_GB2312" w:eastAsia="仿宋_GB2312" w:cs="仿宋_GB2312"/>
                <w:bCs/>
                <w:color w:val="000000"/>
                <w:szCs w:val="21"/>
              </w:rPr>
              <w:t>4.其他责任：法律法规规章文件规定应履行的其他责任。</w:t>
            </w:r>
          </w:p>
        </w:tc>
      </w:tr>
      <w:tr w14:paraId="289848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70" w:type="dxa"/>
            <w:noWrap w:val="0"/>
            <w:vAlign w:val="center"/>
          </w:tcPr>
          <w:p w14:paraId="1024AF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追责情形</w:t>
            </w:r>
          </w:p>
        </w:tc>
        <w:tc>
          <w:tcPr>
            <w:tcW w:w="6610" w:type="dxa"/>
            <w:noWrap w:val="0"/>
            <w:vAlign w:val="center"/>
          </w:tcPr>
          <w:p w14:paraId="698AA920">
            <w:pPr>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 xml:space="preserve">     对不履行或不正确履行行政职责的行政机关及其工作人员，依据《中华人民共和国监察法》、《中华人民共和国退役军人保障法》、《行政机关公务员处分条例》、《四川省行政执法监督条例》、</w:t>
            </w:r>
            <w:r>
              <w:rPr>
                <w:rFonts w:hint="eastAsia" w:ascii="仿宋_GB2312" w:hAnsi="仿宋_GB2312" w:eastAsia="仿宋_GB2312" w:cs="仿宋_GB2312"/>
                <w:bCs/>
                <w:color w:val="000000"/>
                <w:szCs w:val="21"/>
                <w:lang w:val="en-US" w:eastAsia="zh-CN"/>
              </w:rPr>
              <w:t>《优抚医院管理办法》</w:t>
            </w:r>
            <w:r>
              <w:rPr>
                <w:rFonts w:hint="eastAsia" w:ascii="仿宋_GB2312" w:hAnsi="仿宋_GB2312" w:eastAsia="仿宋_GB2312" w:cs="仿宋_GB2312"/>
                <w:bCs/>
                <w:color w:val="000000"/>
                <w:szCs w:val="21"/>
              </w:rPr>
              <w:t>、《四川省行政审批违法违纪行为责任追究办法》等法律法规规章的相关规定追究相应的责任。</w:t>
            </w:r>
          </w:p>
          <w:p w14:paraId="01E8D596">
            <w:pPr>
              <w:rPr>
                <w:rFonts w:hint="eastAsia" w:ascii="仿宋_GB2312" w:hAnsi="仿宋_GB2312" w:eastAsia="仿宋_GB2312" w:cs="仿宋_GB2312"/>
                <w:bCs/>
                <w:color w:val="000000"/>
                <w:szCs w:val="21"/>
              </w:rPr>
            </w:pPr>
          </w:p>
        </w:tc>
      </w:tr>
      <w:tr w14:paraId="44166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670" w:type="dxa"/>
            <w:noWrap w:val="0"/>
            <w:vAlign w:val="center"/>
          </w:tcPr>
          <w:p w14:paraId="2A083C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监督电话</w:t>
            </w:r>
          </w:p>
        </w:tc>
        <w:tc>
          <w:tcPr>
            <w:tcW w:w="6610" w:type="dxa"/>
            <w:noWrap w:val="0"/>
            <w:vAlign w:val="center"/>
          </w:tcPr>
          <w:p w14:paraId="506BC7AD">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tbl>
      <w:tblPr>
        <w:tblStyle w:val="6"/>
        <w:tblpPr w:leftFromText="180" w:rightFromText="180" w:vertAnchor="text" w:horzAnchor="page" w:tblpX="1937" w:tblpY="573"/>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50"/>
        <w:gridCol w:w="6620"/>
      </w:tblGrid>
      <w:tr w14:paraId="7E1FBC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8" w:hRule="atLeast"/>
        </w:trPr>
        <w:tc>
          <w:tcPr>
            <w:tcW w:w="1650" w:type="dxa"/>
            <w:noWrap w:val="0"/>
            <w:vAlign w:val="center"/>
          </w:tcPr>
          <w:p w14:paraId="342F76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序号</w:t>
            </w:r>
          </w:p>
        </w:tc>
        <w:tc>
          <w:tcPr>
            <w:tcW w:w="6620" w:type="dxa"/>
            <w:noWrap w:val="0"/>
            <w:vAlign w:val="center"/>
          </w:tcPr>
          <w:p w14:paraId="6B32D681">
            <w:pPr>
              <w:jc w:val="center"/>
              <w:rPr>
                <w:rFonts w:hint="eastAsia" w:ascii="仿宋_GB2312" w:hAnsi="仿宋_GB2312" w:eastAsia="仿宋_GB2312" w:cs="仿宋_GB2312"/>
                <w:bCs/>
                <w:color w:val="000000"/>
                <w:szCs w:val="21"/>
                <w:lang w:val="en-US" w:eastAsia="zh-CN"/>
              </w:rPr>
            </w:pPr>
            <w:r>
              <w:rPr>
                <w:rFonts w:hint="eastAsia" w:ascii="仿宋_GB2312" w:hAnsi="仿宋_GB2312" w:eastAsia="仿宋_GB2312" w:cs="仿宋_GB2312"/>
                <w:bCs/>
                <w:color w:val="000000"/>
                <w:szCs w:val="21"/>
                <w:lang w:val="en-US" w:eastAsia="zh-CN"/>
              </w:rPr>
              <w:t>16</w:t>
            </w:r>
          </w:p>
        </w:tc>
      </w:tr>
      <w:tr w14:paraId="0E686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1650" w:type="dxa"/>
            <w:noWrap w:val="0"/>
            <w:vAlign w:val="center"/>
          </w:tcPr>
          <w:p w14:paraId="20B44D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权力类型</w:t>
            </w:r>
          </w:p>
        </w:tc>
        <w:tc>
          <w:tcPr>
            <w:tcW w:w="6620" w:type="dxa"/>
            <w:noWrap w:val="0"/>
            <w:vAlign w:val="center"/>
          </w:tcPr>
          <w:p w14:paraId="7D038E65">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Cs w:val="21"/>
                <w:lang w:eastAsia="zh-CN"/>
              </w:rPr>
              <w:t>其他行政权力</w:t>
            </w:r>
          </w:p>
        </w:tc>
      </w:tr>
      <w:tr w14:paraId="65AD8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650" w:type="dxa"/>
            <w:noWrap w:val="0"/>
            <w:vAlign w:val="center"/>
          </w:tcPr>
          <w:p w14:paraId="3357144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权力项目名称</w:t>
            </w:r>
          </w:p>
        </w:tc>
        <w:tc>
          <w:tcPr>
            <w:tcW w:w="6620" w:type="dxa"/>
            <w:noWrap w:val="0"/>
            <w:vAlign w:val="center"/>
          </w:tcPr>
          <w:p w14:paraId="221F00C7">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Cs w:val="21"/>
                <w:lang w:val="en-US" w:eastAsia="zh-CN"/>
              </w:rPr>
              <w:t>依法处理冒领、骗取烈士褒扬金、抚恤金的行为</w:t>
            </w:r>
            <w:r>
              <w:rPr>
                <w:rFonts w:hint="eastAsia" w:ascii="仿宋_GB2312" w:hAnsi="仿宋_GB2312" w:eastAsia="仿宋_GB2312" w:cs="仿宋_GB2312"/>
                <w:color w:val="000000"/>
                <w:szCs w:val="21"/>
              </w:rPr>
              <w:tab/>
            </w:r>
          </w:p>
        </w:tc>
      </w:tr>
      <w:tr w14:paraId="4A927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1650" w:type="dxa"/>
            <w:noWrap w:val="0"/>
            <w:vAlign w:val="center"/>
          </w:tcPr>
          <w:p w14:paraId="6C34AA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实施依据</w:t>
            </w:r>
          </w:p>
        </w:tc>
        <w:tc>
          <w:tcPr>
            <w:tcW w:w="6620" w:type="dxa"/>
            <w:noWrap w:val="0"/>
            <w:vAlign w:val="center"/>
          </w:tcPr>
          <w:p w14:paraId="2EA60CB1">
            <w:pPr>
              <w:ind w:firstLine="420" w:firstLineChars="200"/>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auto"/>
                <w:szCs w:val="21"/>
                <w:lang w:eastAsia="zh-CN"/>
              </w:rPr>
              <w:t>《</w:t>
            </w:r>
            <w:r>
              <w:rPr>
                <w:rFonts w:hint="eastAsia" w:ascii="仿宋_GB2312" w:hAnsi="仿宋_GB2312" w:eastAsia="仿宋_GB2312" w:cs="仿宋_GB2312"/>
                <w:bCs/>
                <w:color w:val="auto"/>
                <w:szCs w:val="21"/>
                <w:lang w:val="en-US" w:eastAsia="zh-CN"/>
              </w:rPr>
              <w:t>烈士褒扬条例</w:t>
            </w:r>
            <w:r>
              <w:rPr>
                <w:rFonts w:hint="eastAsia" w:ascii="仿宋_GB2312" w:hAnsi="仿宋_GB2312" w:eastAsia="仿宋_GB2312" w:cs="仿宋_GB2312"/>
                <w:bCs/>
                <w:color w:val="auto"/>
                <w:szCs w:val="21"/>
                <w:lang w:eastAsia="zh-CN"/>
              </w:rPr>
              <w:t>》</w:t>
            </w:r>
            <w:r>
              <w:rPr>
                <w:rFonts w:hint="eastAsia" w:ascii="仿宋_GB2312" w:hAnsi="仿宋_GB2312" w:eastAsia="仿宋_GB2312" w:cs="仿宋_GB2312"/>
                <w:bCs/>
                <w:color w:val="auto"/>
                <w:szCs w:val="21"/>
                <w:lang w:val="en-US" w:eastAsia="zh-CN"/>
              </w:rPr>
              <w:t>第三十九条 冒领烈士褒扬金、抚恤金，出具假证明或者伪造证件、印章骗取烈士褒扬金或者抚恤金的，由退役军人事务部门责令退回非法所得；构成犯罪的，依法追究刑事责任。</w:t>
            </w:r>
          </w:p>
        </w:tc>
      </w:tr>
      <w:tr w14:paraId="41751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1650" w:type="dxa"/>
            <w:noWrap w:val="0"/>
            <w:vAlign w:val="center"/>
          </w:tcPr>
          <w:p w14:paraId="37CC44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责任主体</w:t>
            </w:r>
          </w:p>
        </w:tc>
        <w:tc>
          <w:tcPr>
            <w:tcW w:w="6620" w:type="dxa"/>
            <w:noWrap w:val="0"/>
            <w:vAlign w:val="center"/>
          </w:tcPr>
          <w:p w14:paraId="22A461EB">
            <w:pPr>
              <w:jc w:val="center"/>
              <w:rPr>
                <w:rFonts w:hint="eastAsia" w:ascii="仿宋_GB2312" w:hAnsi="仿宋_GB2312" w:eastAsia="仿宋_GB2312" w:cs="仿宋_GB2312"/>
                <w:bCs/>
                <w:color w:val="000000"/>
                <w:szCs w:val="21"/>
                <w:lang w:eastAsia="zh-CN"/>
              </w:rPr>
            </w:pPr>
            <w:r>
              <w:rPr>
                <w:rFonts w:hint="eastAsia" w:ascii="仿宋_GB2312" w:hAnsi="仿宋_GB2312" w:eastAsia="仿宋_GB2312" w:cs="仿宋_GB2312"/>
                <w:bCs/>
                <w:color w:val="auto"/>
                <w:szCs w:val="21"/>
                <w:lang w:val="en-US" w:eastAsia="zh-CN"/>
              </w:rPr>
              <w:t>优抚褒扬科</w:t>
            </w:r>
          </w:p>
        </w:tc>
      </w:tr>
      <w:tr w14:paraId="0C6F23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8" w:hRule="atLeast"/>
        </w:trPr>
        <w:tc>
          <w:tcPr>
            <w:tcW w:w="1650" w:type="dxa"/>
            <w:noWrap w:val="0"/>
            <w:vAlign w:val="center"/>
          </w:tcPr>
          <w:p w14:paraId="2F6A2C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责任事项</w:t>
            </w:r>
          </w:p>
        </w:tc>
        <w:tc>
          <w:tcPr>
            <w:tcW w:w="6620" w:type="dxa"/>
            <w:noWrap w:val="0"/>
            <w:vAlign w:val="center"/>
          </w:tcPr>
          <w:p w14:paraId="199F82BA">
            <w:pPr>
              <w:ind w:firstLine="41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1.受理责任：对依据监督检查职权或者通过举报、投诉、其他部门移送、上级部门交办等途径发现的违法行为线索，决定是否受理。</w:t>
            </w:r>
          </w:p>
          <w:p w14:paraId="76AAC414">
            <w:pPr>
              <w:ind w:firstLine="41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2.调查责任：对假证明或者的证件、印章请求专业部门进行鉴定和调查核实。</w:t>
            </w:r>
          </w:p>
          <w:p w14:paraId="2DC6F3B7">
            <w:pPr>
              <w:ind w:firstLine="41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3.决定责任：作出责令退回非法所得的决定。</w:t>
            </w:r>
          </w:p>
          <w:p w14:paraId="2E25885E">
            <w:pPr>
              <w:ind w:firstLine="41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4.执行责任：督促当事人退回非法所得，对逾期不履行的，依照《行政强制法》的规定执行。</w:t>
            </w:r>
          </w:p>
          <w:p w14:paraId="429BCAFC">
            <w:pPr>
              <w:ind w:firstLine="41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5.监督责任：建立实施监督检查的运行机制和管理制度，开展定期和不定期检查，依法采取相关处置措施。</w:t>
            </w:r>
          </w:p>
          <w:p w14:paraId="4F5AA324">
            <w:pPr>
              <w:ind w:firstLine="419"/>
              <w:rPr>
                <w:rFonts w:hint="eastAsia" w:ascii="仿宋_GB2312" w:hAnsi="仿宋_GB2312" w:eastAsia="仿宋_GB2312" w:cs="仿宋_GB2312"/>
                <w:bCs/>
                <w:color w:val="000000"/>
                <w:szCs w:val="21"/>
              </w:rPr>
            </w:pPr>
            <w:r>
              <w:rPr>
                <w:rFonts w:hint="eastAsia" w:ascii="仿宋_GB2312" w:hAnsi="仿宋_GB2312" w:eastAsia="仿宋_GB2312" w:cs="仿宋_GB2312"/>
                <w:sz w:val="21"/>
                <w:szCs w:val="21"/>
                <w:lang w:val="en-US" w:eastAsia="zh-CN"/>
              </w:rPr>
              <w:t>6其他责任：法律法规规章文件规定应履行的其他责任。</w:t>
            </w:r>
          </w:p>
        </w:tc>
      </w:tr>
      <w:tr w14:paraId="6C917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4" w:hRule="atLeast"/>
        </w:trPr>
        <w:tc>
          <w:tcPr>
            <w:tcW w:w="1650" w:type="dxa"/>
            <w:noWrap w:val="0"/>
            <w:vAlign w:val="center"/>
          </w:tcPr>
          <w:p w14:paraId="7E9F392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追责情形</w:t>
            </w:r>
          </w:p>
        </w:tc>
        <w:tc>
          <w:tcPr>
            <w:tcW w:w="6620" w:type="dxa"/>
            <w:noWrap w:val="0"/>
            <w:vAlign w:val="center"/>
          </w:tcPr>
          <w:p w14:paraId="794CBEB0">
            <w:pPr>
              <w:ind w:firstLine="420" w:firstLineChars="200"/>
              <w:rPr>
                <w:rFonts w:hint="eastAsia" w:ascii="仿宋_GB2312" w:hAnsi="仿宋_GB2312" w:eastAsia="仿宋_GB2312" w:cs="仿宋_GB2312"/>
                <w:bCs/>
                <w:color w:val="000000"/>
                <w:szCs w:val="21"/>
              </w:rPr>
            </w:pPr>
            <w:r>
              <w:rPr>
                <w:rFonts w:hint="eastAsia" w:ascii="仿宋_GB2312" w:hAnsi="仿宋_GB2312" w:eastAsia="仿宋_GB2312" w:cs="仿宋_GB2312"/>
                <w:bCs/>
                <w:color w:val="000000"/>
                <w:szCs w:val="21"/>
              </w:rPr>
              <w:t>对不履行或不正确履行行政职责的行政机关及其工作人员，依据《中华人民共和国监察法》、《中华人民共和国退役军人保障法》、</w:t>
            </w:r>
            <w:r>
              <w:rPr>
                <w:rFonts w:hint="eastAsia" w:ascii="仿宋_GB2312" w:hAnsi="仿宋_GB2312" w:eastAsia="仿宋_GB2312" w:cs="仿宋_GB2312"/>
                <w:bCs/>
                <w:color w:val="000000"/>
                <w:szCs w:val="21"/>
                <w:lang w:eastAsia="zh-CN"/>
              </w:rPr>
              <w:t>《烈士褒扬条例》、</w:t>
            </w:r>
            <w:r>
              <w:rPr>
                <w:rFonts w:hint="eastAsia" w:ascii="仿宋_GB2312" w:hAnsi="仿宋_GB2312" w:eastAsia="仿宋_GB2312" w:cs="仿宋_GB2312"/>
                <w:bCs/>
                <w:color w:val="000000"/>
                <w:szCs w:val="21"/>
              </w:rPr>
              <w:t>《行政机关公务员处分条例》、《四川省行政执法监督条例》、《四川省行政审批违法违纪行为责任追究办法》等法律法规规章的相关规定追究相应的责任。</w:t>
            </w:r>
          </w:p>
          <w:p w14:paraId="06A783B5">
            <w:pPr>
              <w:rPr>
                <w:rFonts w:hint="eastAsia" w:ascii="仿宋_GB2312" w:hAnsi="仿宋_GB2312" w:eastAsia="仿宋_GB2312" w:cs="仿宋_GB2312"/>
                <w:bCs/>
                <w:color w:val="000000"/>
                <w:szCs w:val="21"/>
              </w:rPr>
            </w:pPr>
          </w:p>
        </w:tc>
      </w:tr>
      <w:tr w14:paraId="221622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650" w:type="dxa"/>
            <w:noWrap w:val="0"/>
            <w:vAlign w:val="center"/>
          </w:tcPr>
          <w:p w14:paraId="373F236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监督电话</w:t>
            </w:r>
          </w:p>
        </w:tc>
        <w:tc>
          <w:tcPr>
            <w:tcW w:w="6620" w:type="dxa"/>
            <w:noWrap w:val="0"/>
            <w:vAlign w:val="center"/>
          </w:tcPr>
          <w:p w14:paraId="1EF06A95">
            <w:pPr>
              <w:jc w:val="center"/>
              <w:rPr>
                <w:rFonts w:hint="eastAsia" w:ascii="仿宋_GB2312" w:hAnsi="仿宋_GB2312" w:eastAsia="仿宋_GB2312" w:cs="仿宋_GB2312"/>
                <w:bCs/>
                <w:color w:val="000000"/>
                <w:szCs w:val="21"/>
              </w:rPr>
            </w:pPr>
            <w:r>
              <w:rPr>
                <w:rFonts w:hint="eastAsia" w:ascii="仿宋_GB2312" w:hAnsi="仿宋_GB2312" w:eastAsia="仿宋_GB2312" w:cs="仿宋_GB2312"/>
                <w:sz w:val="19"/>
                <w:szCs w:val="19"/>
              </w:rPr>
              <w:t>0</w:t>
            </w:r>
            <w:r>
              <w:rPr>
                <w:rFonts w:hint="eastAsia" w:ascii="仿宋_GB2312" w:hAnsi="仿宋_GB2312" w:eastAsia="仿宋_GB2312" w:cs="仿宋_GB2312"/>
                <w:sz w:val="19"/>
                <w:szCs w:val="19"/>
                <w:lang w:val="en-US" w:eastAsia="zh-CN"/>
              </w:rPr>
              <w:t>839</w:t>
            </w:r>
            <w:r>
              <w:rPr>
                <w:rFonts w:hint="eastAsia" w:ascii="仿宋_GB2312" w:hAnsi="仿宋_GB2312" w:eastAsia="仿宋_GB2312" w:cs="仿宋_GB2312"/>
                <w:sz w:val="19"/>
                <w:szCs w:val="19"/>
              </w:rPr>
              <w:t>－3282238</w:t>
            </w:r>
          </w:p>
        </w:tc>
      </w:tr>
    </w:tbl>
    <w:p w14:paraId="3B1D06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五、广元市退役军人事务局重大行政执法决定法制审核目录清单</w:t>
      </w:r>
    </w:p>
    <w:tbl>
      <w:tblPr>
        <w:tblStyle w:val="6"/>
        <w:tblW w:w="9061"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autofit"/>
        <w:tblCellMar>
          <w:top w:w="15" w:type="dxa"/>
          <w:left w:w="15" w:type="dxa"/>
          <w:bottom w:w="15" w:type="dxa"/>
          <w:right w:w="15" w:type="dxa"/>
        </w:tblCellMar>
      </w:tblPr>
      <w:tblGrid>
        <w:gridCol w:w="568"/>
        <w:gridCol w:w="1027"/>
        <w:gridCol w:w="898"/>
        <w:gridCol w:w="1619"/>
        <w:gridCol w:w="986"/>
        <w:gridCol w:w="1780"/>
        <w:gridCol w:w="2183"/>
      </w:tblGrid>
      <w:tr w14:paraId="6EDF66B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62D2CC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eastAsia" w:ascii="黑体" w:hAnsi="黑体" w:eastAsia="黑体" w:cs="黑体"/>
                <w:bCs/>
                <w:color w:val="000000"/>
                <w:sz w:val="21"/>
                <w:szCs w:val="21"/>
              </w:rPr>
              <w:t>序号</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2D22CA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行政执法类别</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5EB8E68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审核</w:t>
            </w:r>
          </w:p>
          <w:p w14:paraId="3C5795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范围</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5AF31C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依据</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689B547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提交部门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540FA44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审核程序</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697C7A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bCs/>
                <w:color w:val="000000"/>
                <w:sz w:val="21"/>
                <w:szCs w:val="21"/>
              </w:rPr>
            </w:pPr>
            <w:r>
              <w:rPr>
                <w:rFonts w:hint="default" w:ascii="黑体" w:hAnsi="黑体" w:eastAsia="黑体" w:cs="黑体"/>
                <w:bCs/>
                <w:color w:val="000000"/>
                <w:sz w:val="21"/>
                <w:szCs w:val="21"/>
              </w:rPr>
              <w:t>审核内容</w:t>
            </w:r>
          </w:p>
        </w:tc>
      </w:tr>
      <w:tr w14:paraId="25F34AC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207F0827">
            <w:pPr>
              <w:bidi w:val="0"/>
              <w:jc w:val="center"/>
              <w:rPr>
                <w:rFonts w:hint="eastAsia" w:ascii="仿宋" w:hAnsi="仿宋" w:eastAsia="仿宋" w:cs="仿宋"/>
              </w:rPr>
            </w:pPr>
            <w:r>
              <w:rPr>
                <w:rFonts w:hint="eastAsia" w:ascii="仿宋" w:hAnsi="仿宋" w:eastAsia="仿宋" w:cs="仿宋"/>
              </w:rPr>
              <w:t>1</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0D398049">
            <w:pPr>
              <w:bidi w:val="0"/>
              <w:jc w:val="left"/>
              <w:rPr>
                <w:rFonts w:hint="eastAsia" w:ascii="仿宋" w:hAnsi="仿宋" w:eastAsia="仿宋" w:cs="仿宋"/>
              </w:rPr>
            </w:pPr>
            <w:r>
              <w:rPr>
                <w:rFonts w:hint="eastAsia" w:ascii="仿宋" w:hAnsi="仿宋" w:eastAsia="仿宋" w:cs="仿宋"/>
              </w:rPr>
              <w:t>行政处罚</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4F36CC38">
            <w:pPr>
              <w:bidi w:val="0"/>
              <w:jc w:val="left"/>
              <w:rPr>
                <w:rFonts w:hint="eastAsia" w:ascii="仿宋" w:hAnsi="仿宋" w:eastAsia="仿宋" w:cs="仿宋"/>
              </w:rPr>
            </w:pPr>
            <w:r>
              <w:rPr>
                <w:rFonts w:hint="eastAsia" w:ascii="仿宋" w:hAnsi="仿宋" w:eastAsia="仿宋" w:cs="仿宋"/>
              </w:rPr>
              <w:t>适用一般程序作出的行政处罚决定</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08828097">
            <w:pPr>
              <w:bidi w:val="0"/>
              <w:jc w:val="left"/>
              <w:rPr>
                <w:rFonts w:hint="eastAsia" w:ascii="仿宋" w:hAnsi="仿宋" w:eastAsia="仿宋" w:cs="仿宋"/>
              </w:rPr>
            </w:pPr>
            <w:r>
              <w:rPr>
                <w:rFonts w:hint="eastAsia" w:ascii="仿宋" w:hAnsi="仿宋" w:eastAsia="仿宋" w:cs="仿宋"/>
              </w:rPr>
              <w:t>《中华人民共和国行政处罚法》、《</w:t>
            </w:r>
            <w:r>
              <w:rPr>
                <w:rFonts w:hint="eastAsia" w:ascii="仿宋" w:hAnsi="仿宋" w:eastAsia="仿宋" w:cs="仿宋"/>
                <w:lang w:val="en-US" w:eastAsia="zh-CN"/>
              </w:rPr>
              <w:t>四川</w:t>
            </w:r>
            <w:r>
              <w:rPr>
                <w:rFonts w:hint="eastAsia" w:ascii="仿宋" w:hAnsi="仿宋" w:eastAsia="仿宋" w:cs="仿宋"/>
              </w:rPr>
              <w:t>省重大行政执法决定法制审核办法》</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4D3E7E96">
            <w:pPr>
              <w:bidi w:val="0"/>
              <w:jc w:val="left"/>
              <w:rPr>
                <w:rFonts w:hint="eastAsia" w:ascii="仿宋" w:hAnsi="仿宋" w:eastAsia="仿宋" w:cs="仿宋"/>
              </w:rPr>
            </w:pPr>
            <w:r>
              <w:rPr>
                <w:rFonts w:hint="eastAsia" w:ascii="仿宋" w:hAnsi="仿宋" w:eastAsia="仿宋" w:cs="仿宋"/>
              </w:rPr>
              <w:t>行政执法承办部门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1B1788E5">
            <w:pPr>
              <w:bidi w:val="0"/>
              <w:jc w:val="left"/>
              <w:rPr>
                <w:rFonts w:hint="eastAsia" w:ascii="仿宋" w:hAnsi="仿宋" w:eastAsia="仿宋" w:cs="仿宋"/>
              </w:rPr>
            </w:pPr>
            <w:r>
              <w:rPr>
                <w:rFonts w:hint="eastAsia" w:ascii="仿宋" w:hAnsi="仿宋" w:eastAsia="仿宋" w:cs="仿宋"/>
              </w:rPr>
              <w:t>重大行政执法事项调查取证完毕，行政执法承办部门研究提出处理意见后，应在提请行政执法主体负责人作出决定之前，提交法制审核。</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2811BE06">
            <w:pPr>
              <w:bidi w:val="0"/>
              <w:jc w:val="left"/>
              <w:rPr>
                <w:rFonts w:hint="eastAsia" w:ascii="仿宋" w:hAnsi="仿宋" w:eastAsia="仿宋" w:cs="仿宋"/>
              </w:rPr>
            </w:pPr>
            <w:r>
              <w:rPr>
                <w:rFonts w:hint="eastAsia" w:ascii="仿宋" w:hAnsi="仿宋" w:eastAsia="仿宋" w:cs="仿宋"/>
              </w:rPr>
              <w:t>执法主体及执法人员是否合法；主要事实是否清楚；证据是否确凿；适用法律依据是否正确；行使自由裁量权是否恰当；执法程序是否合法；法律、法规、规章规定的其他内容。</w:t>
            </w:r>
          </w:p>
        </w:tc>
      </w:tr>
      <w:tr w14:paraId="30B8B7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2226016F">
            <w:pPr>
              <w:bidi w:val="0"/>
              <w:jc w:val="center"/>
              <w:rPr>
                <w:rFonts w:hint="eastAsia" w:ascii="仿宋" w:hAnsi="仿宋" w:eastAsia="仿宋" w:cs="仿宋"/>
              </w:rPr>
            </w:pPr>
            <w:r>
              <w:rPr>
                <w:rFonts w:hint="eastAsia" w:ascii="仿宋" w:hAnsi="仿宋" w:eastAsia="仿宋" w:cs="仿宋"/>
              </w:rPr>
              <w:t>2</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3583C149">
            <w:pPr>
              <w:bidi w:val="0"/>
              <w:jc w:val="left"/>
              <w:rPr>
                <w:rFonts w:hint="eastAsia" w:ascii="仿宋" w:hAnsi="仿宋" w:eastAsia="仿宋" w:cs="仿宋"/>
              </w:rPr>
            </w:pPr>
            <w:r>
              <w:rPr>
                <w:rFonts w:hint="eastAsia" w:ascii="仿宋" w:hAnsi="仿宋" w:eastAsia="仿宋" w:cs="仿宋"/>
              </w:rPr>
              <w:t>行政处罚、</w:t>
            </w:r>
            <w:r>
              <w:rPr>
                <w:rFonts w:hint="eastAsia" w:ascii="仿宋" w:hAnsi="仿宋" w:eastAsia="仿宋" w:cs="仿宋"/>
                <w:lang w:val="en-US" w:eastAsia="zh-CN"/>
              </w:rPr>
              <w:t>行政</w:t>
            </w:r>
            <w:r>
              <w:rPr>
                <w:rFonts w:hint="eastAsia" w:ascii="仿宋" w:hAnsi="仿宋" w:eastAsia="仿宋" w:cs="仿宋"/>
              </w:rPr>
              <w:t>规范性文件、其他行政权力</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15A4F3D4">
            <w:pPr>
              <w:bidi w:val="0"/>
              <w:jc w:val="left"/>
              <w:rPr>
                <w:rFonts w:hint="eastAsia" w:ascii="仿宋" w:hAnsi="仿宋" w:eastAsia="仿宋" w:cs="仿宋"/>
              </w:rPr>
            </w:pPr>
            <w:r>
              <w:rPr>
                <w:rFonts w:hint="eastAsia" w:ascii="仿宋" w:hAnsi="仿宋" w:eastAsia="仿宋" w:cs="仿宋"/>
              </w:rPr>
              <w:t>适用听证程序作出行政执法决定的</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757B764F">
            <w:pPr>
              <w:bidi w:val="0"/>
              <w:jc w:val="left"/>
              <w:rPr>
                <w:rFonts w:hint="eastAsia" w:ascii="仿宋" w:hAnsi="仿宋" w:eastAsia="仿宋" w:cs="仿宋"/>
              </w:rPr>
            </w:pPr>
            <w:r>
              <w:rPr>
                <w:rFonts w:hint="eastAsia" w:ascii="仿宋" w:hAnsi="仿宋" w:eastAsia="仿宋" w:cs="仿宋"/>
              </w:rPr>
              <w:t>《行政许可法》、《行政强制法》、《</w:t>
            </w:r>
            <w:r>
              <w:rPr>
                <w:rFonts w:hint="eastAsia" w:ascii="仿宋" w:hAnsi="仿宋" w:eastAsia="仿宋" w:cs="仿宋"/>
                <w:lang w:eastAsia="zh-CN"/>
              </w:rPr>
              <w:t>四川</w:t>
            </w:r>
            <w:r>
              <w:rPr>
                <w:rFonts w:hint="eastAsia" w:ascii="仿宋" w:hAnsi="仿宋" w:eastAsia="仿宋" w:cs="仿宋"/>
              </w:rPr>
              <w:t>省行政规范性文件管理</w:t>
            </w:r>
            <w:r>
              <w:rPr>
                <w:rFonts w:hint="eastAsia" w:ascii="仿宋" w:hAnsi="仿宋" w:eastAsia="仿宋" w:cs="仿宋"/>
                <w:lang w:val="en-US" w:eastAsia="zh-CN"/>
              </w:rPr>
              <w:t>办法</w:t>
            </w:r>
            <w:r>
              <w:rPr>
                <w:rFonts w:hint="eastAsia" w:ascii="仿宋" w:hAnsi="仿宋" w:eastAsia="仿宋" w:cs="仿宋"/>
              </w:rPr>
              <w:t>》、《</w:t>
            </w:r>
            <w:r>
              <w:rPr>
                <w:rFonts w:hint="eastAsia" w:ascii="仿宋" w:hAnsi="仿宋" w:eastAsia="仿宋" w:cs="仿宋"/>
                <w:lang w:eastAsia="zh-CN"/>
              </w:rPr>
              <w:t>四川</w:t>
            </w:r>
            <w:r>
              <w:rPr>
                <w:rFonts w:hint="eastAsia" w:ascii="仿宋" w:hAnsi="仿宋" w:eastAsia="仿宋" w:cs="仿宋"/>
              </w:rPr>
              <w:t>省重大行政执法决定法制审核办法》</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787D82B1">
            <w:pPr>
              <w:bidi w:val="0"/>
              <w:jc w:val="left"/>
              <w:rPr>
                <w:rFonts w:hint="eastAsia" w:ascii="仿宋" w:hAnsi="仿宋" w:eastAsia="仿宋" w:cs="仿宋"/>
              </w:rPr>
            </w:pPr>
            <w:r>
              <w:rPr>
                <w:rFonts w:hint="eastAsia" w:ascii="仿宋" w:hAnsi="仿宋" w:eastAsia="仿宋" w:cs="仿宋"/>
              </w:rPr>
              <w:t>行政执法承办部门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6620DD2A">
            <w:pPr>
              <w:bidi w:val="0"/>
              <w:jc w:val="left"/>
              <w:rPr>
                <w:rFonts w:hint="eastAsia" w:ascii="仿宋" w:hAnsi="仿宋" w:eastAsia="仿宋" w:cs="仿宋"/>
              </w:rPr>
            </w:pPr>
            <w:r>
              <w:rPr>
                <w:rFonts w:hint="eastAsia" w:ascii="仿宋" w:hAnsi="仿宋" w:eastAsia="仿宋" w:cs="仿宋"/>
              </w:rPr>
              <w:t>重大行政执法事项调查取证完毕，行政执法承办部门研究提出处理意见后，应在提请行政执法主体负责人作出决定之前，提交法制审核。</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148C480D">
            <w:pPr>
              <w:bidi w:val="0"/>
              <w:jc w:val="left"/>
              <w:rPr>
                <w:rFonts w:hint="eastAsia" w:ascii="仿宋" w:hAnsi="仿宋" w:eastAsia="仿宋" w:cs="仿宋"/>
              </w:rPr>
            </w:pPr>
            <w:r>
              <w:rPr>
                <w:rFonts w:hint="eastAsia" w:ascii="仿宋" w:hAnsi="仿宋" w:eastAsia="仿宋" w:cs="仿宋"/>
              </w:rPr>
              <w:t>执法主体及执法人员是否合法；主要事实是否清楚；证据是否确凿；适用法律依据是否正确；行使自由裁量权是否恰当；执法程序是否合法；法律、法规、规章规定的其他内容。</w:t>
            </w:r>
          </w:p>
        </w:tc>
      </w:tr>
      <w:tr w14:paraId="3EA5A79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7C388189">
            <w:pPr>
              <w:bidi w:val="0"/>
              <w:jc w:val="center"/>
              <w:rPr>
                <w:rFonts w:hint="eastAsia" w:ascii="仿宋" w:hAnsi="仿宋" w:eastAsia="仿宋" w:cs="仿宋"/>
              </w:rPr>
            </w:pPr>
            <w:r>
              <w:rPr>
                <w:rFonts w:hint="eastAsia" w:ascii="仿宋" w:hAnsi="仿宋" w:eastAsia="仿宋" w:cs="仿宋"/>
              </w:rPr>
              <w:t>3</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17F8D12E">
            <w:pPr>
              <w:bidi w:val="0"/>
              <w:jc w:val="left"/>
              <w:rPr>
                <w:rFonts w:hint="eastAsia" w:ascii="仿宋" w:hAnsi="仿宋" w:eastAsia="仿宋" w:cs="仿宋"/>
              </w:rPr>
            </w:pPr>
            <w:r>
              <w:rPr>
                <w:rFonts w:hint="eastAsia" w:ascii="仿宋" w:hAnsi="仿宋" w:eastAsia="仿宋" w:cs="仿宋"/>
              </w:rPr>
              <w:t>行政处罚、</w:t>
            </w:r>
            <w:r>
              <w:rPr>
                <w:rFonts w:hint="eastAsia" w:ascii="仿宋" w:hAnsi="仿宋" w:eastAsia="仿宋" w:cs="仿宋"/>
                <w:lang w:val="en-US" w:eastAsia="zh-CN"/>
              </w:rPr>
              <w:t>行政</w:t>
            </w:r>
            <w:r>
              <w:rPr>
                <w:rFonts w:hint="eastAsia" w:ascii="仿宋" w:hAnsi="仿宋" w:eastAsia="仿宋" w:cs="仿宋"/>
              </w:rPr>
              <w:t>规范性文件、其他行政权力、行政检查</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716520BA">
            <w:pPr>
              <w:bidi w:val="0"/>
              <w:jc w:val="left"/>
              <w:rPr>
                <w:rFonts w:hint="eastAsia" w:ascii="仿宋" w:hAnsi="仿宋" w:eastAsia="仿宋" w:cs="仿宋"/>
              </w:rPr>
            </w:pPr>
            <w:r>
              <w:rPr>
                <w:rFonts w:hint="eastAsia" w:ascii="仿宋" w:hAnsi="仿宋" w:eastAsia="仿宋" w:cs="仿宋"/>
              </w:rPr>
              <w:t>涉及重大公共利益的</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75065EB2">
            <w:pPr>
              <w:bidi w:val="0"/>
              <w:jc w:val="left"/>
              <w:rPr>
                <w:rFonts w:hint="eastAsia" w:ascii="仿宋" w:hAnsi="仿宋" w:eastAsia="仿宋" w:cs="仿宋"/>
              </w:rPr>
            </w:pPr>
            <w:r>
              <w:rPr>
                <w:rFonts w:hint="eastAsia" w:ascii="仿宋" w:hAnsi="仿宋" w:eastAsia="仿宋" w:cs="仿宋"/>
              </w:rPr>
              <w:t>《行政许可法》、《行政强制法》、《</w:t>
            </w:r>
            <w:r>
              <w:rPr>
                <w:rFonts w:hint="eastAsia" w:ascii="仿宋" w:hAnsi="仿宋" w:eastAsia="仿宋" w:cs="仿宋"/>
                <w:lang w:eastAsia="zh-CN"/>
              </w:rPr>
              <w:t>四川</w:t>
            </w:r>
            <w:r>
              <w:rPr>
                <w:rFonts w:hint="eastAsia" w:ascii="仿宋" w:hAnsi="仿宋" w:eastAsia="仿宋" w:cs="仿宋"/>
              </w:rPr>
              <w:t>省行政规范性文件管理</w:t>
            </w:r>
            <w:r>
              <w:rPr>
                <w:rFonts w:hint="eastAsia" w:ascii="仿宋" w:hAnsi="仿宋" w:eastAsia="仿宋" w:cs="仿宋"/>
                <w:lang w:val="en-US" w:eastAsia="zh-CN"/>
              </w:rPr>
              <w:t>办法</w:t>
            </w:r>
            <w:r>
              <w:rPr>
                <w:rFonts w:hint="eastAsia" w:ascii="仿宋" w:hAnsi="仿宋" w:eastAsia="仿宋" w:cs="仿宋"/>
              </w:rPr>
              <w:t>》、《</w:t>
            </w:r>
            <w:r>
              <w:rPr>
                <w:rFonts w:hint="eastAsia" w:ascii="仿宋" w:hAnsi="仿宋" w:eastAsia="仿宋" w:cs="仿宋"/>
                <w:lang w:eastAsia="zh-CN"/>
              </w:rPr>
              <w:t>四川</w:t>
            </w:r>
            <w:r>
              <w:rPr>
                <w:rFonts w:hint="eastAsia" w:ascii="仿宋" w:hAnsi="仿宋" w:eastAsia="仿宋" w:cs="仿宋"/>
              </w:rPr>
              <w:t>省重大行政执法决定法制审核办法》</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31999E9A">
            <w:pPr>
              <w:bidi w:val="0"/>
              <w:jc w:val="left"/>
              <w:rPr>
                <w:rFonts w:hint="eastAsia" w:ascii="仿宋" w:hAnsi="仿宋" w:eastAsia="仿宋" w:cs="仿宋"/>
              </w:rPr>
            </w:pPr>
            <w:r>
              <w:rPr>
                <w:rFonts w:hint="eastAsia" w:ascii="仿宋" w:hAnsi="仿宋" w:eastAsia="仿宋" w:cs="仿宋"/>
              </w:rPr>
              <w:t>行政执法承办部门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0AB00FA3">
            <w:pPr>
              <w:bidi w:val="0"/>
              <w:jc w:val="left"/>
              <w:rPr>
                <w:rFonts w:hint="eastAsia" w:ascii="仿宋" w:hAnsi="仿宋" w:eastAsia="仿宋" w:cs="仿宋"/>
              </w:rPr>
            </w:pPr>
            <w:r>
              <w:rPr>
                <w:rFonts w:hint="eastAsia" w:ascii="仿宋" w:hAnsi="仿宋" w:eastAsia="仿宋" w:cs="仿宋"/>
              </w:rPr>
              <w:t>重大行政执法事项调查取证完毕，行政执法承办部门研究提出处理意见后，应在提请行政执法主体负责人作出决定之前，提交法制审核。</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0EB164D9">
            <w:pPr>
              <w:bidi w:val="0"/>
              <w:jc w:val="left"/>
              <w:rPr>
                <w:rFonts w:hint="eastAsia" w:ascii="仿宋" w:hAnsi="仿宋" w:eastAsia="仿宋" w:cs="仿宋"/>
              </w:rPr>
            </w:pPr>
            <w:r>
              <w:rPr>
                <w:rFonts w:hint="eastAsia" w:ascii="仿宋" w:hAnsi="仿宋" w:eastAsia="仿宋" w:cs="仿宋"/>
              </w:rPr>
              <w:t>执法主体及执法人员是否合法；主要事实是否清楚；证据是否确凿；适用法律依据是否正确；行使自由裁量权是否恰当；执法程序是否合法；法律、法规、规章规定的其他内容。</w:t>
            </w:r>
          </w:p>
        </w:tc>
      </w:tr>
      <w:tr w14:paraId="6DCB4D3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7A220C32">
            <w:pPr>
              <w:bidi w:val="0"/>
              <w:jc w:val="center"/>
              <w:rPr>
                <w:rFonts w:hint="eastAsia" w:ascii="仿宋" w:hAnsi="仿宋" w:eastAsia="仿宋" w:cs="仿宋"/>
              </w:rPr>
            </w:pPr>
            <w:r>
              <w:rPr>
                <w:rFonts w:hint="eastAsia" w:ascii="仿宋" w:hAnsi="仿宋" w:eastAsia="仿宋" w:cs="仿宋"/>
              </w:rPr>
              <w:t>4</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0F67A013">
            <w:pPr>
              <w:bidi w:val="0"/>
              <w:jc w:val="left"/>
              <w:rPr>
                <w:rFonts w:hint="eastAsia" w:ascii="仿宋" w:hAnsi="仿宋" w:eastAsia="仿宋" w:cs="仿宋"/>
                <w:lang w:val="en-US" w:eastAsia="zh-CN"/>
              </w:rPr>
            </w:pPr>
            <w:r>
              <w:rPr>
                <w:rFonts w:hint="eastAsia" w:ascii="仿宋" w:hAnsi="仿宋" w:eastAsia="仿宋" w:cs="仿宋"/>
              </w:rPr>
              <w:t>行政处罚、</w:t>
            </w:r>
            <w:r>
              <w:rPr>
                <w:rFonts w:hint="eastAsia" w:ascii="仿宋" w:hAnsi="仿宋" w:eastAsia="仿宋" w:cs="仿宋"/>
                <w:lang w:val="en-US" w:eastAsia="zh-CN"/>
              </w:rPr>
              <w:t>行政</w:t>
            </w:r>
            <w:r>
              <w:rPr>
                <w:rFonts w:hint="eastAsia" w:ascii="仿宋" w:hAnsi="仿宋" w:eastAsia="仿宋" w:cs="仿宋"/>
              </w:rPr>
              <w:t>规范性文件、</w:t>
            </w:r>
            <w:r>
              <w:rPr>
                <w:rFonts w:hint="eastAsia" w:ascii="仿宋" w:hAnsi="仿宋" w:eastAsia="仿宋" w:cs="仿宋"/>
                <w:lang w:val="en-US" w:eastAsia="zh-CN"/>
              </w:rPr>
              <w:t>其他行政权力</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62769496">
            <w:pPr>
              <w:bidi w:val="0"/>
              <w:jc w:val="left"/>
              <w:rPr>
                <w:rFonts w:hint="eastAsia" w:ascii="仿宋" w:hAnsi="仿宋" w:eastAsia="仿宋" w:cs="仿宋"/>
              </w:rPr>
            </w:pPr>
            <w:r>
              <w:rPr>
                <w:rFonts w:hint="eastAsia" w:ascii="仿宋" w:hAnsi="仿宋" w:eastAsia="仿宋" w:cs="仿宋"/>
              </w:rPr>
              <w:t>社会关注度高的</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44D2D4DB">
            <w:pPr>
              <w:bidi w:val="0"/>
              <w:jc w:val="left"/>
              <w:rPr>
                <w:rFonts w:hint="eastAsia" w:ascii="仿宋" w:hAnsi="仿宋" w:eastAsia="仿宋" w:cs="仿宋"/>
              </w:rPr>
            </w:pPr>
            <w:r>
              <w:rPr>
                <w:rFonts w:hint="eastAsia" w:ascii="仿宋" w:hAnsi="仿宋" w:eastAsia="仿宋" w:cs="仿宋"/>
              </w:rPr>
              <w:t>《中华人民共和国行政处罚法》、《行政许可法》、《行政强制法》、《</w:t>
            </w:r>
            <w:r>
              <w:rPr>
                <w:rFonts w:hint="eastAsia" w:ascii="仿宋" w:hAnsi="仿宋" w:eastAsia="仿宋" w:cs="仿宋"/>
                <w:lang w:eastAsia="zh-CN"/>
              </w:rPr>
              <w:t>四川</w:t>
            </w:r>
            <w:r>
              <w:rPr>
                <w:rFonts w:hint="eastAsia" w:ascii="仿宋" w:hAnsi="仿宋" w:eastAsia="仿宋" w:cs="仿宋"/>
              </w:rPr>
              <w:t>省行政规范性文件管理</w:t>
            </w:r>
            <w:r>
              <w:rPr>
                <w:rFonts w:hint="eastAsia" w:ascii="仿宋" w:hAnsi="仿宋" w:eastAsia="仿宋" w:cs="仿宋"/>
                <w:lang w:val="en-US" w:eastAsia="zh-CN"/>
              </w:rPr>
              <w:t>办法</w:t>
            </w:r>
            <w:r>
              <w:rPr>
                <w:rFonts w:hint="eastAsia" w:ascii="仿宋" w:hAnsi="仿宋" w:eastAsia="仿宋" w:cs="仿宋"/>
              </w:rPr>
              <w:t>》、《</w:t>
            </w:r>
            <w:r>
              <w:rPr>
                <w:rFonts w:hint="eastAsia" w:ascii="仿宋" w:hAnsi="仿宋" w:eastAsia="仿宋" w:cs="仿宋"/>
                <w:lang w:eastAsia="zh-CN"/>
              </w:rPr>
              <w:t>四川</w:t>
            </w:r>
            <w:r>
              <w:rPr>
                <w:rFonts w:hint="eastAsia" w:ascii="仿宋" w:hAnsi="仿宋" w:eastAsia="仿宋" w:cs="仿宋"/>
              </w:rPr>
              <w:t>省重大行政执法决定法制审核办法》</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1C5D2B4D">
            <w:pPr>
              <w:bidi w:val="0"/>
              <w:jc w:val="left"/>
              <w:rPr>
                <w:rFonts w:hint="eastAsia" w:ascii="仿宋" w:hAnsi="仿宋" w:eastAsia="仿宋" w:cs="仿宋"/>
              </w:rPr>
            </w:pPr>
            <w:r>
              <w:rPr>
                <w:rFonts w:hint="eastAsia" w:ascii="仿宋" w:hAnsi="仿宋" w:eastAsia="仿宋" w:cs="仿宋"/>
              </w:rPr>
              <w:t>行政执法承办部门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611BA584">
            <w:pPr>
              <w:bidi w:val="0"/>
              <w:jc w:val="left"/>
              <w:rPr>
                <w:rFonts w:hint="eastAsia" w:ascii="仿宋" w:hAnsi="仿宋" w:eastAsia="仿宋" w:cs="仿宋"/>
              </w:rPr>
            </w:pPr>
            <w:r>
              <w:rPr>
                <w:rFonts w:hint="eastAsia" w:ascii="仿宋" w:hAnsi="仿宋" w:eastAsia="仿宋" w:cs="仿宋"/>
              </w:rPr>
              <w:t>重大行政执法事项调查取证完毕，行政执法承办部门研究提出处理意见后，应在提请行政执法主体负责人作出决定之前，提交法制审核。</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1298C539">
            <w:pPr>
              <w:bidi w:val="0"/>
              <w:jc w:val="left"/>
              <w:rPr>
                <w:rFonts w:hint="eastAsia" w:ascii="仿宋" w:hAnsi="仿宋" w:eastAsia="仿宋" w:cs="仿宋"/>
              </w:rPr>
            </w:pPr>
            <w:r>
              <w:rPr>
                <w:rFonts w:hint="eastAsia" w:ascii="仿宋" w:hAnsi="仿宋" w:eastAsia="仿宋" w:cs="仿宋"/>
              </w:rPr>
              <w:t>执法主体及执法人员是否合法；主要事实是否清楚；证据是否确凿；适用法律依据是否正确；行使自由裁量权是否恰当；执法程序是否合法；法律、法规、规章规定的其他内容。</w:t>
            </w:r>
          </w:p>
        </w:tc>
      </w:tr>
      <w:tr w14:paraId="238A067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6A4F7F8B">
            <w:pPr>
              <w:bidi w:val="0"/>
              <w:jc w:val="center"/>
              <w:rPr>
                <w:rFonts w:hint="eastAsia" w:ascii="仿宋" w:hAnsi="仿宋" w:eastAsia="仿宋" w:cs="仿宋"/>
              </w:rPr>
            </w:pPr>
            <w:r>
              <w:rPr>
                <w:rFonts w:hint="eastAsia" w:ascii="仿宋" w:hAnsi="仿宋" w:eastAsia="仿宋" w:cs="仿宋"/>
              </w:rPr>
              <w:t>5</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4F5219B8">
            <w:pPr>
              <w:bidi w:val="0"/>
              <w:jc w:val="left"/>
              <w:rPr>
                <w:rFonts w:hint="eastAsia" w:ascii="仿宋" w:hAnsi="仿宋" w:eastAsia="仿宋" w:cs="仿宋"/>
                <w:lang w:val="en-US" w:eastAsia="zh-CN"/>
              </w:rPr>
            </w:pPr>
            <w:r>
              <w:rPr>
                <w:rFonts w:hint="eastAsia" w:ascii="仿宋" w:hAnsi="仿宋" w:eastAsia="仿宋" w:cs="仿宋"/>
              </w:rPr>
              <w:t>行政处罚、</w:t>
            </w:r>
            <w:r>
              <w:rPr>
                <w:rFonts w:hint="eastAsia" w:ascii="仿宋" w:hAnsi="仿宋" w:eastAsia="仿宋" w:cs="仿宋"/>
                <w:lang w:val="en-US" w:eastAsia="zh-CN"/>
              </w:rPr>
              <w:t>行政</w:t>
            </w:r>
            <w:r>
              <w:rPr>
                <w:rFonts w:hint="eastAsia" w:ascii="仿宋" w:hAnsi="仿宋" w:eastAsia="仿宋" w:cs="仿宋"/>
              </w:rPr>
              <w:t>规范性文件</w:t>
            </w:r>
            <w:r>
              <w:rPr>
                <w:rFonts w:hint="eastAsia" w:ascii="仿宋" w:hAnsi="仿宋" w:eastAsia="仿宋" w:cs="仿宋"/>
                <w:lang w:eastAsia="zh-CN"/>
              </w:rPr>
              <w:t>、</w:t>
            </w:r>
            <w:r>
              <w:rPr>
                <w:rFonts w:hint="eastAsia" w:ascii="仿宋" w:hAnsi="仿宋" w:eastAsia="仿宋" w:cs="仿宋"/>
                <w:lang w:val="en-US" w:eastAsia="zh-CN"/>
              </w:rPr>
              <w:t>其他行政权力</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3DAD13B3">
            <w:pPr>
              <w:bidi w:val="0"/>
              <w:jc w:val="left"/>
              <w:rPr>
                <w:rFonts w:hint="eastAsia" w:ascii="仿宋" w:hAnsi="仿宋" w:eastAsia="仿宋" w:cs="仿宋"/>
              </w:rPr>
            </w:pPr>
            <w:r>
              <w:rPr>
                <w:rFonts w:hint="eastAsia" w:ascii="仿宋" w:hAnsi="仿宋" w:eastAsia="仿宋" w:cs="仿宋"/>
              </w:rPr>
              <w:t>可能造成重大社会影响或引发社会风险的</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20DF769D">
            <w:pPr>
              <w:bidi w:val="0"/>
              <w:jc w:val="left"/>
              <w:rPr>
                <w:rFonts w:hint="eastAsia" w:ascii="仿宋" w:hAnsi="仿宋" w:eastAsia="仿宋" w:cs="仿宋"/>
              </w:rPr>
            </w:pPr>
            <w:r>
              <w:rPr>
                <w:rFonts w:hint="eastAsia" w:ascii="仿宋" w:hAnsi="仿宋" w:eastAsia="仿宋" w:cs="仿宋"/>
              </w:rPr>
              <w:t>《中华人民共和国行政处罚法》、《行政许可法》、《行政强制法》、《</w:t>
            </w:r>
            <w:r>
              <w:rPr>
                <w:rFonts w:hint="eastAsia" w:ascii="仿宋" w:hAnsi="仿宋" w:eastAsia="仿宋" w:cs="仿宋"/>
                <w:lang w:eastAsia="zh-CN"/>
              </w:rPr>
              <w:t>四川</w:t>
            </w:r>
            <w:r>
              <w:rPr>
                <w:rFonts w:hint="eastAsia" w:ascii="仿宋" w:hAnsi="仿宋" w:eastAsia="仿宋" w:cs="仿宋"/>
              </w:rPr>
              <w:t>省行政规范性文件管理</w:t>
            </w:r>
            <w:r>
              <w:rPr>
                <w:rFonts w:hint="eastAsia" w:ascii="仿宋" w:hAnsi="仿宋" w:eastAsia="仿宋" w:cs="仿宋"/>
                <w:lang w:val="en-US" w:eastAsia="zh-CN"/>
              </w:rPr>
              <w:t>办法</w:t>
            </w:r>
            <w:r>
              <w:rPr>
                <w:rFonts w:hint="eastAsia" w:ascii="仿宋" w:hAnsi="仿宋" w:eastAsia="仿宋" w:cs="仿宋"/>
              </w:rPr>
              <w:t>》、《</w:t>
            </w:r>
            <w:r>
              <w:rPr>
                <w:rFonts w:hint="eastAsia" w:ascii="仿宋" w:hAnsi="仿宋" w:eastAsia="仿宋" w:cs="仿宋"/>
                <w:lang w:eastAsia="zh-CN"/>
              </w:rPr>
              <w:t>四川</w:t>
            </w:r>
            <w:r>
              <w:rPr>
                <w:rFonts w:hint="eastAsia" w:ascii="仿宋" w:hAnsi="仿宋" w:eastAsia="仿宋" w:cs="仿宋"/>
              </w:rPr>
              <w:t>省重大行政执法决定法制审核办法》</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5C93EA19">
            <w:pPr>
              <w:bidi w:val="0"/>
              <w:jc w:val="left"/>
              <w:rPr>
                <w:rFonts w:hint="eastAsia" w:ascii="仿宋" w:hAnsi="仿宋" w:eastAsia="仿宋" w:cs="仿宋"/>
              </w:rPr>
            </w:pPr>
            <w:r>
              <w:rPr>
                <w:rFonts w:hint="eastAsia" w:ascii="仿宋" w:hAnsi="仿宋" w:eastAsia="仿宋" w:cs="仿宋"/>
              </w:rPr>
              <w:t>行政执法承办部门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1AC0E842">
            <w:pPr>
              <w:bidi w:val="0"/>
              <w:jc w:val="left"/>
              <w:rPr>
                <w:rFonts w:hint="eastAsia" w:ascii="仿宋" w:hAnsi="仿宋" w:eastAsia="仿宋" w:cs="仿宋"/>
              </w:rPr>
            </w:pPr>
            <w:r>
              <w:rPr>
                <w:rFonts w:hint="eastAsia" w:ascii="仿宋" w:hAnsi="仿宋" w:eastAsia="仿宋" w:cs="仿宋"/>
              </w:rPr>
              <w:t>重大行政执法事项调查取证完毕，行政执法承办部门研究提出处理意见后，应在提请行政执法主体负责人作出决定之前，提交法制审核。</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3D281BC1">
            <w:pPr>
              <w:bidi w:val="0"/>
              <w:jc w:val="left"/>
              <w:rPr>
                <w:rFonts w:hint="eastAsia" w:ascii="仿宋" w:hAnsi="仿宋" w:eastAsia="仿宋" w:cs="仿宋"/>
              </w:rPr>
            </w:pPr>
            <w:r>
              <w:rPr>
                <w:rFonts w:hint="eastAsia" w:ascii="仿宋" w:hAnsi="仿宋" w:eastAsia="仿宋" w:cs="仿宋"/>
              </w:rPr>
              <w:t>执法主体及执法人员是否合法；主要事实是否清楚；证据是否确凿；适用法律依据是否正确；行使自由裁量权是否恰当；执法程序是否合法；法律、法规、规章规定的其他内容。</w:t>
            </w:r>
          </w:p>
        </w:tc>
      </w:tr>
      <w:tr w14:paraId="7979509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15" w:type="dxa"/>
            <w:left w:w="15" w:type="dxa"/>
            <w:bottom w:w="15" w:type="dxa"/>
            <w:right w:w="15" w:type="dxa"/>
          </w:tblCellMar>
        </w:tblPrEx>
        <w:trPr>
          <w:wBefore w:w="362" w:type="dxa"/>
          <w:wAfter w:w="363" w:type="dxa"/>
          <w:jc w:val="center"/>
        </w:trPr>
        <w:tc>
          <w:tcPr>
            <w:tcW w:w="523" w:type="dxa"/>
            <w:tcBorders>
              <w:top w:val="outset" w:color="auto" w:sz="6" w:space="0"/>
              <w:left w:val="outset" w:color="auto" w:sz="6" w:space="0"/>
              <w:bottom w:val="outset" w:color="auto" w:sz="6" w:space="0"/>
              <w:right w:val="outset" w:color="auto" w:sz="6" w:space="0"/>
            </w:tcBorders>
            <w:shd w:val="clear" w:color="auto" w:fill="auto"/>
            <w:vAlign w:val="center"/>
          </w:tcPr>
          <w:p w14:paraId="3BE4766D">
            <w:pPr>
              <w:bidi w:val="0"/>
              <w:jc w:val="center"/>
              <w:rPr>
                <w:rFonts w:hint="eastAsia" w:ascii="仿宋" w:hAnsi="仿宋" w:eastAsia="仿宋" w:cs="仿宋"/>
              </w:rPr>
            </w:pPr>
            <w:r>
              <w:rPr>
                <w:rFonts w:hint="eastAsia" w:ascii="仿宋" w:hAnsi="仿宋" w:eastAsia="仿宋" w:cs="仿宋"/>
              </w:rPr>
              <w:t>6</w:t>
            </w:r>
          </w:p>
        </w:tc>
        <w:tc>
          <w:tcPr>
            <w:tcW w:w="945" w:type="dxa"/>
            <w:tcBorders>
              <w:top w:val="outset" w:color="auto" w:sz="6" w:space="0"/>
              <w:left w:val="outset" w:color="auto" w:sz="6" w:space="0"/>
              <w:bottom w:val="outset" w:color="auto" w:sz="6" w:space="0"/>
              <w:right w:val="outset" w:color="auto" w:sz="6" w:space="0"/>
            </w:tcBorders>
            <w:shd w:val="clear" w:color="auto" w:fill="auto"/>
            <w:vAlign w:val="center"/>
          </w:tcPr>
          <w:p w14:paraId="3AD8CC2F">
            <w:pPr>
              <w:bidi w:val="0"/>
              <w:jc w:val="left"/>
              <w:rPr>
                <w:rFonts w:hint="eastAsia" w:ascii="仿宋" w:hAnsi="仿宋" w:eastAsia="仿宋" w:cs="仿宋"/>
                <w:lang w:val="en-US" w:eastAsia="zh-CN"/>
              </w:rPr>
            </w:pPr>
            <w:r>
              <w:rPr>
                <w:rFonts w:hint="eastAsia" w:ascii="仿宋" w:hAnsi="仿宋" w:eastAsia="仿宋" w:cs="仿宋"/>
              </w:rPr>
              <w:t>行政处罚、</w:t>
            </w:r>
            <w:r>
              <w:rPr>
                <w:rFonts w:hint="eastAsia" w:ascii="仿宋" w:hAnsi="仿宋" w:eastAsia="仿宋" w:cs="仿宋"/>
                <w:lang w:val="en-US" w:eastAsia="zh-CN"/>
              </w:rPr>
              <w:t>其他行政权力</w:t>
            </w:r>
          </w:p>
        </w:tc>
        <w:tc>
          <w:tcPr>
            <w:tcW w:w="826" w:type="dxa"/>
            <w:tcBorders>
              <w:top w:val="outset" w:color="auto" w:sz="6" w:space="0"/>
              <w:left w:val="outset" w:color="auto" w:sz="6" w:space="0"/>
              <w:bottom w:val="outset" w:color="auto" w:sz="6" w:space="0"/>
              <w:right w:val="outset" w:color="auto" w:sz="6" w:space="0"/>
            </w:tcBorders>
            <w:shd w:val="clear" w:color="auto" w:fill="auto"/>
            <w:vAlign w:val="center"/>
          </w:tcPr>
          <w:p w14:paraId="3D4739A1">
            <w:pPr>
              <w:bidi w:val="0"/>
              <w:jc w:val="left"/>
              <w:rPr>
                <w:rFonts w:hint="eastAsia" w:ascii="仿宋" w:hAnsi="仿宋" w:eastAsia="仿宋" w:cs="仿宋"/>
              </w:rPr>
            </w:pPr>
            <w:r>
              <w:rPr>
                <w:rFonts w:hint="eastAsia" w:ascii="仿宋" w:hAnsi="仿宋" w:eastAsia="仿宋" w:cs="仿宋"/>
              </w:rPr>
              <w:t>案件情况复杂，涉及多个法律关系的</w:t>
            </w:r>
          </w:p>
        </w:tc>
        <w:tc>
          <w:tcPr>
            <w:tcW w:w="1489" w:type="dxa"/>
            <w:tcBorders>
              <w:top w:val="outset" w:color="auto" w:sz="6" w:space="0"/>
              <w:left w:val="outset" w:color="auto" w:sz="6" w:space="0"/>
              <w:bottom w:val="outset" w:color="auto" w:sz="6" w:space="0"/>
              <w:right w:val="outset" w:color="auto" w:sz="6" w:space="0"/>
            </w:tcBorders>
            <w:shd w:val="clear" w:color="auto" w:fill="auto"/>
            <w:vAlign w:val="center"/>
          </w:tcPr>
          <w:p w14:paraId="51C5FCC3">
            <w:pPr>
              <w:bidi w:val="0"/>
              <w:jc w:val="left"/>
              <w:rPr>
                <w:rFonts w:hint="eastAsia" w:ascii="仿宋" w:hAnsi="仿宋" w:eastAsia="仿宋" w:cs="仿宋"/>
              </w:rPr>
            </w:pPr>
            <w:r>
              <w:rPr>
                <w:rFonts w:hint="eastAsia" w:ascii="仿宋" w:hAnsi="仿宋" w:eastAsia="仿宋" w:cs="仿宋"/>
              </w:rPr>
              <w:t>《中华人民共和国行政处罚法》、《行政许可法》、《行政强制法》、《</w:t>
            </w:r>
            <w:r>
              <w:rPr>
                <w:rFonts w:hint="eastAsia" w:ascii="仿宋" w:hAnsi="仿宋" w:eastAsia="仿宋" w:cs="仿宋"/>
                <w:lang w:eastAsia="zh-CN"/>
              </w:rPr>
              <w:t>四川</w:t>
            </w:r>
            <w:r>
              <w:rPr>
                <w:rFonts w:hint="eastAsia" w:ascii="仿宋" w:hAnsi="仿宋" w:eastAsia="仿宋" w:cs="仿宋"/>
              </w:rPr>
              <w:t>省重大行政执法决定法制审核办法》</w:t>
            </w:r>
          </w:p>
        </w:tc>
        <w:tc>
          <w:tcPr>
            <w:tcW w:w="907" w:type="dxa"/>
            <w:tcBorders>
              <w:top w:val="outset" w:color="auto" w:sz="6" w:space="0"/>
              <w:left w:val="outset" w:color="auto" w:sz="6" w:space="0"/>
              <w:bottom w:val="outset" w:color="auto" w:sz="6" w:space="0"/>
              <w:right w:val="outset" w:color="auto" w:sz="6" w:space="0"/>
            </w:tcBorders>
            <w:shd w:val="clear" w:color="auto" w:fill="auto"/>
            <w:vAlign w:val="center"/>
          </w:tcPr>
          <w:p w14:paraId="287FAE53">
            <w:pPr>
              <w:bidi w:val="0"/>
              <w:jc w:val="left"/>
              <w:rPr>
                <w:rFonts w:hint="eastAsia" w:ascii="仿宋" w:hAnsi="仿宋" w:eastAsia="仿宋" w:cs="仿宋"/>
              </w:rPr>
            </w:pPr>
            <w:r>
              <w:rPr>
                <w:rFonts w:hint="eastAsia" w:ascii="仿宋" w:hAnsi="仿宋" w:eastAsia="仿宋" w:cs="仿宋"/>
              </w:rPr>
              <w:t>行政执法承办部门</w:t>
            </w:r>
          </w:p>
        </w:tc>
        <w:tc>
          <w:tcPr>
            <w:tcW w:w="1638" w:type="dxa"/>
            <w:tcBorders>
              <w:top w:val="outset" w:color="auto" w:sz="6" w:space="0"/>
              <w:left w:val="outset" w:color="auto" w:sz="6" w:space="0"/>
              <w:bottom w:val="outset" w:color="auto" w:sz="6" w:space="0"/>
              <w:right w:val="outset" w:color="auto" w:sz="6" w:space="0"/>
            </w:tcBorders>
            <w:shd w:val="clear" w:color="auto" w:fill="auto"/>
            <w:vAlign w:val="center"/>
          </w:tcPr>
          <w:p w14:paraId="14C79127">
            <w:pPr>
              <w:bidi w:val="0"/>
              <w:jc w:val="left"/>
              <w:rPr>
                <w:rFonts w:hint="eastAsia" w:ascii="仿宋" w:hAnsi="仿宋" w:eastAsia="仿宋" w:cs="仿宋"/>
              </w:rPr>
            </w:pPr>
            <w:r>
              <w:rPr>
                <w:rFonts w:hint="eastAsia" w:ascii="仿宋" w:hAnsi="仿宋" w:eastAsia="仿宋" w:cs="仿宋"/>
              </w:rPr>
              <w:t>重大行政执法事项调查取证完毕，行政执法承办部门研究提出处理意见后，应在提请行政执法主体负责人作出决定之前，提交法制审核。</w:t>
            </w:r>
          </w:p>
        </w:tc>
        <w:tc>
          <w:tcPr>
            <w:tcW w:w="2008" w:type="dxa"/>
            <w:tcBorders>
              <w:top w:val="outset" w:color="auto" w:sz="6" w:space="0"/>
              <w:left w:val="outset" w:color="auto" w:sz="6" w:space="0"/>
              <w:bottom w:val="outset" w:color="auto" w:sz="6" w:space="0"/>
              <w:right w:val="outset" w:color="auto" w:sz="6" w:space="0"/>
            </w:tcBorders>
            <w:shd w:val="clear" w:color="auto" w:fill="auto"/>
            <w:vAlign w:val="center"/>
          </w:tcPr>
          <w:p w14:paraId="28935925">
            <w:pPr>
              <w:bidi w:val="0"/>
              <w:jc w:val="left"/>
              <w:rPr>
                <w:rFonts w:hint="eastAsia" w:ascii="仿宋" w:hAnsi="仿宋" w:eastAsia="仿宋" w:cs="仿宋"/>
              </w:rPr>
            </w:pPr>
            <w:r>
              <w:rPr>
                <w:rFonts w:hint="eastAsia" w:ascii="仿宋" w:hAnsi="仿宋" w:eastAsia="仿宋" w:cs="仿宋"/>
              </w:rPr>
              <w:t>执法主体及执法人员是否合法；主要事实是否清楚；证据是否确凿；适用法律依据是否正确；行使自由裁量权是否恰当；执法程序是否合法；法律、法规、规章规定的其他内容。</w:t>
            </w:r>
          </w:p>
        </w:tc>
      </w:tr>
    </w:tbl>
    <w:tbl>
      <w:tblPr>
        <w:tblStyle w:val="7"/>
        <w:tblpPr w:leftFromText="180" w:rightFromText="180" w:vertAnchor="text" w:tblpX="10427" w:tblpY="-4710"/>
        <w:tblOverlap w:val="never"/>
        <w:tblW w:w="2553"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left w:w="108" w:type="dxa"/>
          <w:right w:w="108" w:type="dxa"/>
        </w:tblCellMar>
      </w:tblPr>
      <w:tblGrid>
        <w:gridCol w:w="2553"/>
      </w:tblGrid>
      <w:tr w14:paraId="4D376C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left w:w="108" w:type="dxa"/>
            <w:right w:w="108" w:type="dxa"/>
          </w:tblCellMar>
        </w:tblPrEx>
        <w:trPr>
          <w:trHeight w:val="30" w:hRule="atLeast"/>
        </w:trPr>
        <w:tc>
          <w:tcPr>
            <w:tcW w:w="2553" w:type="dxa"/>
          </w:tcPr>
          <w:p w14:paraId="605A4AC5">
            <w:pPr>
              <w:bidi w:val="0"/>
              <w:rPr>
                <w:vertAlign w:val="baseline"/>
                <w:lang w:val="en-US" w:eastAsia="zh-CN"/>
              </w:rPr>
            </w:pPr>
          </w:p>
        </w:tc>
      </w:tr>
    </w:tbl>
    <w:tbl>
      <w:tblPr>
        <w:tblStyle w:val="7"/>
        <w:tblpPr w:leftFromText="180" w:rightFromText="180" w:vertAnchor="text" w:tblpX="10427" w:tblpY="-2778"/>
        <w:tblOverlap w:val="never"/>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left w:w="108" w:type="dxa"/>
          <w:right w:w="108" w:type="dxa"/>
        </w:tblCellMar>
      </w:tblPr>
      <w:tblGrid>
        <w:gridCol w:w="2553"/>
      </w:tblGrid>
      <w:tr w14:paraId="058923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0" w:hRule="atLeast"/>
        </w:trPr>
        <w:tc>
          <w:tcPr>
            <w:tcW w:w="2553" w:type="dxa"/>
          </w:tcPr>
          <w:p w14:paraId="797CCEDB">
            <w:pPr>
              <w:bidi w:val="0"/>
              <w:rPr>
                <w:vertAlign w:val="baseline"/>
                <w:lang w:val="en-US" w:eastAsia="zh-CN"/>
              </w:rPr>
            </w:pPr>
          </w:p>
        </w:tc>
      </w:tr>
    </w:tbl>
    <w:p w14:paraId="3CB1B9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六、广元市退役军人事务局行政裁量权基准</w:t>
      </w:r>
    </w:p>
    <w:tbl>
      <w:tblPr>
        <w:tblStyle w:val="6"/>
        <w:tblW w:w="572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15" w:type="dxa"/>
          <w:left w:w="15" w:type="dxa"/>
          <w:bottom w:w="15" w:type="dxa"/>
          <w:right w:w="15" w:type="dxa"/>
        </w:tblCellMar>
      </w:tblPr>
      <w:tblGrid>
        <w:gridCol w:w="847"/>
        <w:gridCol w:w="1183"/>
        <w:gridCol w:w="2558"/>
        <w:gridCol w:w="1354"/>
        <w:gridCol w:w="3197"/>
        <w:gridCol w:w="1238"/>
      </w:tblGrid>
      <w:tr w14:paraId="61B08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420" w:hRule="atLeast"/>
          <w:jc w:val="center"/>
        </w:trPr>
        <w:tc>
          <w:tcPr>
            <w:tcW w:w="408" w:type="pct"/>
            <w:shd w:val="clear" w:color="auto" w:fill="auto"/>
            <w:tcMar>
              <w:top w:w="0" w:type="dxa"/>
              <w:left w:w="108" w:type="dxa"/>
              <w:bottom w:w="0" w:type="dxa"/>
              <w:right w:w="108" w:type="dxa"/>
            </w:tcMar>
            <w:vAlign w:val="center"/>
          </w:tcPr>
          <w:p w14:paraId="0FA57B03">
            <w:pPr>
              <w:bidi w:val="0"/>
              <w:jc w:val="center"/>
              <w:rPr>
                <w:rFonts w:hint="eastAsia" w:ascii="黑体" w:hAnsi="黑体" w:eastAsia="黑体" w:cs="黑体"/>
              </w:rPr>
            </w:pPr>
            <w:r>
              <w:rPr>
                <w:rFonts w:hint="eastAsia" w:ascii="黑体" w:hAnsi="黑体" w:eastAsia="黑体" w:cs="黑体"/>
                <w:lang w:val="en-US" w:eastAsia="zh-CN"/>
              </w:rPr>
              <w:t>序号</w:t>
            </w:r>
          </w:p>
        </w:tc>
        <w:tc>
          <w:tcPr>
            <w:tcW w:w="570" w:type="pct"/>
            <w:shd w:val="clear" w:color="auto" w:fill="auto"/>
            <w:tcMar>
              <w:top w:w="0" w:type="dxa"/>
              <w:left w:w="108" w:type="dxa"/>
              <w:bottom w:w="0" w:type="dxa"/>
              <w:right w:w="108" w:type="dxa"/>
            </w:tcMar>
            <w:vAlign w:val="center"/>
          </w:tcPr>
          <w:p w14:paraId="177F9552">
            <w:pPr>
              <w:bidi w:val="0"/>
              <w:jc w:val="center"/>
              <w:rPr>
                <w:rFonts w:hint="eastAsia" w:ascii="黑体" w:hAnsi="黑体" w:eastAsia="黑体" w:cs="黑体"/>
              </w:rPr>
            </w:pPr>
            <w:r>
              <w:rPr>
                <w:rFonts w:hint="eastAsia" w:ascii="黑体" w:hAnsi="黑体" w:eastAsia="黑体" w:cs="黑体"/>
                <w:lang w:val="en-US" w:eastAsia="zh-CN"/>
              </w:rPr>
              <w:t>违法行为</w:t>
            </w:r>
          </w:p>
        </w:tc>
        <w:tc>
          <w:tcPr>
            <w:tcW w:w="1232" w:type="pct"/>
            <w:shd w:val="clear" w:color="auto" w:fill="auto"/>
            <w:tcMar>
              <w:top w:w="0" w:type="dxa"/>
              <w:left w:w="108" w:type="dxa"/>
              <w:bottom w:w="0" w:type="dxa"/>
              <w:right w:w="108" w:type="dxa"/>
            </w:tcMar>
            <w:vAlign w:val="center"/>
          </w:tcPr>
          <w:p w14:paraId="75E21FBC">
            <w:pPr>
              <w:bidi w:val="0"/>
              <w:jc w:val="center"/>
              <w:rPr>
                <w:rFonts w:hint="eastAsia" w:ascii="黑体" w:hAnsi="黑体" w:eastAsia="黑体" w:cs="黑体"/>
              </w:rPr>
            </w:pPr>
            <w:r>
              <w:rPr>
                <w:rFonts w:hint="eastAsia" w:ascii="黑体" w:hAnsi="黑体" w:eastAsia="黑体" w:cs="黑体"/>
                <w:lang w:val="en-US" w:eastAsia="zh-CN"/>
              </w:rPr>
              <w:t>法定依据</w:t>
            </w:r>
          </w:p>
        </w:tc>
        <w:tc>
          <w:tcPr>
            <w:tcW w:w="652" w:type="pct"/>
            <w:shd w:val="clear" w:color="auto" w:fill="auto"/>
            <w:tcMar>
              <w:top w:w="0" w:type="dxa"/>
              <w:left w:w="108" w:type="dxa"/>
              <w:bottom w:w="0" w:type="dxa"/>
              <w:right w:w="108" w:type="dxa"/>
            </w:tcMar>
            <w:vAlign w:val="center"/>
          </w:tcPr>
          <w:p w14:paraId="7AFEF9E6">
            <w:pPr>
              <w:bidi w:val="0"/>
              <w:jc w:val="center"/>
              <w:rPr>
                <w:rFonts w:hint="eastAsia" w:ascii="黑体" w:hAnsi="黑体" w:eastAsia="黑体" w:cs="黑体"/>
              </w:rPr>
            </w:pPr>
            <w:r>
              <w:rPr>
                <w:rFonts w:hint="eastAsia" w:ascii="黑体" w:hAnsi="黑体" w:eastAsia="黑体" w:cs="黑体"/>
                <w:lang w:val="en-US" w:eastAsia="zh-CN"/>
              </w:rPr>
              <w:t>裁量阶次</w:t>
            </w:r>
          </w:p>
        </w:tc>
        <w:tc>
          <w:tcPr>
            <w:tcW w:w="1540" w:type="pct"/>
            <w:shd w:val="clear" w:color="auto" w:fill="auto"/>
            <w:tcMar>
              <w:top w:w="0" w:type="dxa"/>
              <w:left w:w="108" w:type="dxa"/>
              <w:bottom w:w="0" w:type="dxa"/>
              <w:right w:w="108" w:type="dxa"/>
            </w:tcMar>
            <w:vAlign w:val="center"/>
          </w:tcPr>
          <w:p w14:paraId="3132466B">
            <w:pPr>
              <w:bidi w:val="0"/>
              <w:jc w:val="center"/>
              <w:rPr>
                <w:rFonts w:hint="eastAsia" w:ascii="黑体" w:hAnsi="黑体" w:eastAsia="黑体" w:cs="黑体"/>
              </w:rPr>
            </w:pPr>
            <w:r>
              <w:rPr>
                <w:rFonts w:hint="eastAsia" w:ascii="黑体" w:hAnsi="黑体" w:eastAsia="黑体" w:cs="黑体"/>
                <w:lang w:val="en-US" w:eastAsia="zh-CN"/>
              </w:rPr>
              <w:t>适用条件</w:t>
            </w:r>
          </w:p>
        </w:tc>
        <w:tc>
          <w:tcPr>
            <w:tcW w:w="596" w:type="pct"/>
            <w:shd w:val="clear" w:color="auto" w:fill="auto"/>
            <w:tcMar>
              <w:top w:w="0" w:type="dxa"/>
              <w:left w:w="108" w:type="dxa"/>
              <w:bottom w:w="0" w:type="dxa"/>
              <w:right w:w="108" w:type="dxa"/>
            </w:tcMar>
            <w:vAlign w:val="center"/>
          </w:tcPr>
          <w:p w14:paraId="1AF11E5C">
            <w:pPr>
              <w:bidi w:val="0"/>
              <w:jc w:val="center"/>
              <w:rPr>
                <w:rFonts w:hint="eastAsia" w:ascii="黑体" w:hAnsi="黑体" w:eastAsia="黑体" w:cs="黑体"/>
              </w:rPr>
            </w:pPr>
            <w:r>
              <w:rPr>
                <w:rFonts w:hint="eastAsia" w:ascii="黑体" w:hAnsi="黑体" w:eastAsia="黑体" w:cs="黑体"/>
                <w:lang w:val="en-US" w:eastAsia="zh-CN"/>
              </w:rPr>
              <w:t>具体标准</w:t>
            </w:r>
          </w:p>
        </w:tc>
      </w:tr>
      <w:tr w14:paraId="72D94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70" w:hRule="atLeast"/>
          <w:jc w:val="center"/>
        </w:trPr>
        <w:tc>
          <w:tcPr>
            <w:tcW w:w="408" w:type="pct"/>
            <w:vMerge w:val="restart"/>
            <w:shd w:val="clear" w:color="auto" w:fill="auto"/>
            <w:tcMar>
              <w:top w:w="0" w:type="dxa"/>
              <w:left w:w="108" w:type="dxa"/>
              <w:bottom w:w="0" w:type="dxa"/>
              <w:right w:w="108" w:type="dxa"/>
            </w:tcMar>
            <w:vAlign w:val="center"/>
          </w:tcPr>
          <w:p w14:paraId="1029F910">
            <w:pPr>
              <w:bidi w:val="0"/>
              <w:jc w:val="center"/>
              <w:rPr>
                <w:rFonts w:hint="eastAsia" w:ascii="仿宋" w:hAnsi="仿宋" w:eastAsia="仿宋" w:cs="仿宋"/>
              </w:rPr>
            </w:pPr>
            <w:r>
              <w:rPr>
                <w:rFonts w:hint="eastAsia" w:ascii="仿宋" w:hAnsi="仿宋" w:eastAsia="仿宋" w:cs="仿宋"/>
                <w:lang w:val="en-US" w:eastAsia="zh-CN"/>
              </w:rPr>
              <w:t>1</w:t>
            </w:r>
          </w:p>
        </w:tc>
        <w:tc>
          <w:tcPr>
            <w:tcW w:w="570" w:type="pct"/>
            <w:vMerge w:val="restart"/>
            <w:shd w:val="clear" w:color="auto" w:fill="auto"/>
            <w:tcMar>
              <w:top w:w="0" w:type="dxa"/>
              <w:left w:w="108" w:type="dxa"/>
              <w:bottom w:w="0" w:type="dxa"/>
              <w:right w:w="108" w:type="dxa"/>
            </w:tcMar>
            <w:vAlign w:val="center"/>
          </w:tcPr>
          <w:p w14:paraId="4A95D1EE">
            <w:pPr>
              <w:bidi w:val="0"/>
              <w:rPr>
                <w:rFonts w:hint="eastAsia" w:ascii="仿宋" w:hAnsi="仿宋" w:eastAsia="仿宋" w:cs="仿宋"/>
              </w:rPr>
            </w:pPr>
            <w:r>
              <w:rPr>
                <w:rFonts w:hint="eastAsia" w:ascii="仿宋" w:hAnsi="仿宋" w:eastAsia="仿宋" w:cs="仿宋"/>
                <w:lang w:val="en-US" w:eastAsia="zh-CN"/>
              </w:rPr>
              <w:t>非法获取抚恤优待待遇</w:t>
            </w:r>
          </w:p>
        </w:tc>
        <w:tc>
          <w:tcPr>
            <w:tcW w:w="1232" w:type="pct"/>
            <w:vMerge w:val="restart"/>
            <w:shd w:val="clear" w:color="auto" w:fill="auto"/>
            <w:tcMar>
              <w:top w:w="0" w:type="dxa"/>
              <w:left w:w="108" w:type="dxa"/>
              <w:bottom w:w="0" w:type="dxa"/>
              <w:right w:w="108" w:type="dxa"/>
            </w:tcMar>
            <w:vAlign w:val="center"/>
          </w:tcPr>
          <w:p w14:paraId="1137B35C">
            <w:pPr>
              <w:bidi w:val="0"/>
              <w:rPr>
                <w:rFonts w:hint="eastAsia" w:ascii="仿宋" w:hAnsi="仿宋" w:eastAsia="仿宋" w:cs="仿宋"/>
              </w:rPr>
            </w:pPr>
            <w:r>
              <w:rPr>
                <w:rFonts w:hint="eastAsia" w:ascii="仿宋" w:hAnsi="仿宋" w:eastAsia="仿宋" w:cs="仿宋"/>
                <w:lang w:val="en-US" w:eastAsia="zh-CN"/>
              </w:rPr>
              <w:t>（1）《军人抚恤优待条例》第四十九条：“抚恤优待对象有下列行为之一的，由县级人民政府退役军人事务部门给予警告，限期退回非法所得；情节严重的，停止其享受的抚恤、优待；构成犯罪的，依法追究刑事责任：（一）冒领抚恤金、优待金、补助金的；（二）虚报病情骗取医药费的；（三）出具假证明，伪造证件、印章骗取抚恤金、优待金、补助金的。”</w:t>
            </w:r>
          </w:p>
          <w:p w14:paraId="46ED0F84">
            <w:pPr>
              <w:bidi w:val="0"/>
              <w:rPr>
                <w:rFonts w:hint="eastAsia" w:ascii="仿宋" w:hAnsi="仿宋" w:eastAsia="仿宋" w:cs="仿宋"/>
              </w:rPr>
            </w:pPr>
            <w:r>
              <w:rPr>
                <w:rFonts w:hint="eastAsia" w:ascii="仿宋" w:hAnsi="仿宋" w:eastAsia="仿宋" w:cs="仿宋"/>
                <w:lang w:val="en-US" w:eastAsia="zh-CN"/>
              </w:rPr>
              <w:t>（2）《伤残抚恤管理办法》第二十七条：“有下列行为之一的，由县级人民政府退役军人事务部门给予警告，停止其享受的抚恤、优待，追回非法所得；构成犯罪的，依法追究刑事责任：（一）伪造残情的；（二）冒领抚恤金的；（三）骗取医药费等费用的；（四）出具假证明，伪造证件、印章骗取抚恤金和相关待遇的。”</w:t>
            </w:r>
          </w:p>
        </w:tc>
        <w:tc>
          <w:tcPr>
            <w:tcW w:w="652" w:type="pct"/>
            <w:shd w:val="clear" w:color="auto" w:fill="auto"/>
            <w:tcMar>
              <w:top w:w="0" w:type="dxa"/>
              <w:left w:w="108" w:type="dxa"/>
              <w:bottom w:w="0" w:type="dxa"/>
              <w:right w:w="108" w:type="dxa"/>
            </w:tcMar>
            <w:vAlign w:val="center"/>
          </w:tcPr>
          <w:p w14:paraId="225638F3">
            <w:pPr>
              <w:bidi w:val="0"/>
              <w:jc w:val="center"/>
              <w:rPr>
                <w:rFonts w:hint="eastAsia" w:ascii="仿宋" w:hAnsi="仿宋" w:eastAsia="仿宋" w:cs="仿宋"/>
              </w:rPr>
            </w:pPr>
            <w:r>
              <w:rPr>
                <w:rFonts w:hint="eastAsia" w:ascii="仿宋" w:hAnsi="仿宋" w:eastAsia="仿宋" w:cs="仿宋"/>
                <w:lang w:val="en-US" w:eastAsia="zh-CN"/>
              </w:rPr>
              <w:t>不予处罚</w:t>
            </w:r>
          </w:p>
        </w:tc>
        <w:tc>
          <w:tcPr>
            <w:tcW w:w="1540" w:type="pct"/>
            <w:shd w:val="clear" w:color="auto" w:fill="auto"/>
            <w:tcMar>
              <w:top w:w="0" w:type="dxa"/>
              <w:left w:w="108" w:type="dxa"/>
              <w:bottom w:w="0" w:type="dxa"/>
              <w:right w:w="108" w:type="dxa"/>
            </w:tcMar>
            <w:vAlign w:val="center"/>
          </w:tcPr>
          <w:p w14:paraId="4CFBD64C">
            <w:pPr>
              <w:bidi w:val="0"/>
              <w:rPr>
                <w:rFonts w:hint="eastAsia" w:ascii="仿宋" w:hAnsi="仿宋" w:eastAsia="仿宋" w:cs="仿宋"/>
              </w:rPr>
            </w:pPr>
            <w:r>
              <w:rPr>
                <w:rFonts w:hint="eastAsia" w:ascii="仿宋" w:hAnsi="仿宋" w:eastAsia="仿宋" w:cs="仿宋"/>
                <w:lang w:val="en-US" w:eastAsia="zh-CN"/>
              </w:rPr>
              <w:t>违法行为轻微并及时改正，没有造成危害后果的；有其他法定的不予处罚情形的。</w:t>
            </w:r>
          </w:p>
        </w:tc>
        <w:tc>
          <w:tcPr>
            <w:tcW w:w="596" w:type="pct"/>
            <w:shd w:val="clear" w:color="auto" w:fill="auto"/>
            <w:tcMar>
              <w:top w:w="0" w:type="dxa"/>
              <w:left w:w="108" w:type="dxa"/>
              <w:bottom w:w="0" w:type="dxa"/>
              <w:right w:w="108" w:type="dxa"/>
            </w:tcMar>
            <w:vAlign w:val="center"/>
          </w:tcPr>
          <w:p w14:paraId="7459A567">
            <w:pPr>
              <w:bidi w:val="0"/>
              <w:rPr>
                <w:rFonts w:hint="eastAsia" w:ascii="仿宋" w:hAnsi="仿宋" w:eastAsia="仿宋" w:cs="仿宋"/>
              </w:rPr>
            </w:pPr>
            <w:r>
              <w:rPr>
                <w:rFonts w:hint="eastAsia" w:ascii="仿宋" w:hAnsi="仿宋" w:eastAsia="仿宋" w:cs="仿宋"/>
                <w:lang w:val="en-US" w:eastAsia="zh-CN"/>
              </w:rPr>
              <w:t>不予处罚。</w:t>
            </w:r>
          </w:p>
        </w:tc>
      </w:tr>
      <w:tr w14:paraId="31302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60" w:hRule="atLeast"/>
          <w:jc w:val="center"/>
        </w:trPr>
        <w:tc>
          <w:tcPr>
            <w:tcW w:w="408" w:type="pct"/>
            <w:vMerge w:val="continue"/>
            <w:shd w:val="clear" w:color="auto" w:fill="auto"/>
            <w:tcMar>
              <w:top w:w="0" w:type="dxa"/>
              <w:left w:w="108" w:type="dxa"/>
              <w:bottom w:w="0" w:type="dxa"/>
              <w:right w:w="108" w:type="dxa"/>
            </w:tcMar>
            <w:vAlign w:val="center"/>
          </w:tcPr>
          <w:p w14:paraId="772BAAAC">
            <w:pPr>
              <w:bidi w:val="0"/>
              <w:rPr>
                <w:rFonts w:hint="eastAsia" w:ascii="仿宋" w:hAnsi="仿宋" w:eastAsia="仿宋" w:cs="仿宋"/>
              </w:rPr>
            </w:pPr>
          </w:p>
        </w:tc>
        <w:tc>
          <w:tcPr>
            <w:tcW w:w="570" w:type="pct"/>
            <w:vMerge w:val="continue"/>
            <w:shd w:val="clear" w:color="auto" w:fill="auto"/>
            <w:tcMar>
              <w:top w:w="0" w:type="dxa"/>
              <w:left w:w="108" w:type="dxa"/>
              <w:bottom w:w="0" w:type="dxa"/>
              <w:right w:w="108" w:type="dxa"/>
            </w:tcMar>
            <w:vAlign w:val="center"/>
          </w:tcPr>
          <w:p w14:paraId="1B3E0293">
            <w:pPr>
              <w:bidi w:val="0"/>
              <w:rPr>
                <w:rFonts w:hint="eastAsia" w:ascii="仿宋" w:hAnsi="仿宋" w:eastAsia="仿宋" w:cs="仿宋"/>
              </w:rPr>
            </w:pPr>
          </w:p>
        </w:tc>
        <w:tc>
          <w:tcPr>
            <w:tcW w:w="1232" w:type="pct"/>
            <w:vMerge w:val="continue"/>
            <w:shd w:val="clear" w:color="auto" w:fill="auto"/>
            <w:tcMar>
              <w:top w:w="0" w:type="dxa"/>
              <w:left w:w="108" w:type="dxa"/>
              <w:bottom w:w="0" w:type="dxa"/>
              <w:right w:w="108" w:type="dxa"/>
            </w:tcMar>
            <w:vAlign w:val="center"/>
          </w:tcPr>
          <w:p w14:paraId="65F85685">
            <w:pPr>
              <w:bidi w:val="0"/>
              <w:rPr>
                <w:rFonts w:hint="eastAsia" w:ascii="仿宋" w:hAnsi="仿宋" w:eastAsia="仿宋" w:cs="仿宋"/>
              </w:rPr>
            </w:pPr>
          </w:p>
        </w:tc>
        <w:tc>
          <w:tcPr>
            <w:tcW w:w="652" w:type="pct"/>
            <w:vMerge w:val="restart"/>
            <w:shd w:val="clear" w:color="auto" w:fill="auto"/>
            <w:tcMar>
              <w:top w:w="0" w:type="dxa"/>
              <w:left w:w="108" w:type="dxa"/>
              <w:bottom w:w="0" w:type="dxa"/>
              <w:right w:w="108" w:type="dxa"/>
            </w:tcMar>
            <w:vAlign w:val="center"/>
          </w:tcPr>
          <w:p w14:paraId="1EA504F7">
            <w:pPr>
              <w:bidi w:val="0"/>
              <w:jc w:val="center"/>
              <w:rPr>
                <w:rFonts w:hint="eastAsia" w:ascii="仿宋" w:hAnsi="仿宋" w:eastAsia="仿宋" w:cs="仿宋"/>
              </w:rPr>
            </w:pPr>
            <w:r>
              <w:rPr>
                <w:rFonts w:hint="eastAsia" w:ascii="仿宋" w:hAnsi="仿宋" w:eastAsia="仿宋" w:cs="仿宋"/>
                <w:lang w:val="en-US" w:eastAsia="zh-CN"/>
              </w:rPr>
              <w:t>一般处罚</w:t>
            </w:r>
          </w:p>
        </w:tc>
        <w:tc>
          <w:tcPr>
            <w:tcW w:w="1540" w:type="pct"/>
            <w:shd w:val="clear" w:color="auto" w:fill="auto"/>
            <w:tcMar>
              <w:top w:w="0" w:type="dxa"/>
              <w:left w:w="108" w:type="dxa"/>
              <w:bottom w:w="0" w:type="dxa"/>
              <w:right w:w="108" w:type="dxa"/>
            </w:tcMar>
            <w:vAlign w:val="center"/>
          </w:tcPr>
          <w:p w14:paraId="4F574256">
            <w:pPr>
              <w:bidi w:val="0"/>
              <w:rPr>
                <w:rFonts w:hint="eastAsia" w:ascii="仿宋" w:hAnsi="仿宋" w:eastAsia="仿宋" w:cs="仿宋"/>
              </w:rPr>
            </w:pPr>
            <w:r>
              <w:rPr>
                <w:rFonts w:hint="eastAsia" w:ascii="仿宋" w:hAnsi="仿宋" w:eastAsia="仿宋" w:cs="仿宋"/>
                <w:lang w:val="en-US" w:eastAsia="zh-CN"/>
              </w:rPr>
              <w:t>有伪造残情等行为的。</w:t>
            </w:r>
          </w:p>
        </w:tc>
        <w:tc>
          <w:tcPr>
            <w:tcW w:w="596" w:type="pct"/>
            <w:shd w:val="clear" w:color="auto" w:fill="auto"/>
            <w:tcMar>
              <w:top w:w="0" w:type="dxa"/>
              <w:left w:w="108" w:type="dxa"/>
              <w:bottom w:w="0" w:type="dxa"/>
              <w:right w:w="108" w:type="dxa"/>
            </w:tcMar>
            <w:vAlign w:val="center"/>
          </w:tcPr>
          <w:p w14:paraId="1FCDBBB5">
            <w:pPr>
              <w:bidi w:val="0"/>
              <w:rPr>
                <w:rFonts w:hint="eastAsia" w:ascii="仿宋" w:hAnsi="仿宋" w:eastAsia="仿宋" w:cs="仿宋"/>
              </w:rPr>
            </w:pPr>
            <w:r>
              <w:rPr>
                <w:rFonts w:hint="eastAsia" w:ascii="仿宋" w:hAnsi="仿宋" w:eastAsia="仿宋" w:cs="仿宋"/>
                <w:lang w:val="en-US" w:eastAsia="zh-CN"/>
              </w:rPr>
              <w:t>警告；停止其享受的抚恤、优待。</w:t>
            </w:r>
          </w:p>
        </w:tc>
      </w:tr>
      <w:tr w14:paraId="55A8D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770" w:hRule="atLeast"/>
          <w:jc w:val="center"/>
        </w:trPr>
        <w:tc>
          <w:tcPr>
            <w:tcW w:w="408" w:type="pct"/>
            <w:vMerge w:val="continue"/>
            <w:shd w:val="clear" w:color="auto" w:fill="auto"/>
            <w:tcMar>
              <w:top w:w="0" w:type="dxa"/>
              <w:left w:w="108" w:type="dxa"/>
              <w:bottom w:w="0" w:type="dxa"/>
              <w:right w:w="108" w:type="dxa"/>
            </w:tcMar>
            <w:vAlign w:val="center"/>
          </w:tcPr>
          <w:p w14:paraId="2861EAA4">
            <w:pPr>
              <w:bidi w:val="0"/>
              <w:rPr>
                <w:rFonts w:hint="eastAsia" w:ascii="仿宋" w:hAnsi="仿宋" w:eastAsia="仿宋" w:cs="仿宋"/>
              </w:rPr>
            </w:pPr>
          </w:p>
        </w:tc>
        <w:tc>
          <w:tcPr>
            <w:tcW w:w="570" w:type="pct"/>
            <w:vMerge w:val="continue"/>
            <w:shd w:val="clear" w:color="auto" w:fill="auto"/>
            <w:tcMar>
              <w:top w:w="0" w:type="dxa"/>
              <w:left w:w="108" w:type="dxa"/>
              <w:bottom w:w="0" w:type="dxa"/>
              <w:right w:w="108" w:type="dxa"/>
            </w:tcMar>
            <w:vAlign w:val="center"/>
          </w:tcPr>
          <w:p w14:paraId="77476995">
            <w:pPr>
              <w:bidi w:val="0"/>
              <w:rPr>
                <w:rFonts w:hint="eastAsia" w:ascii="仿宋" w:hAnsi="仿宋" w:eastAsia="仿宋" w:cs="仿宋"/>
              </w:rPr>
            </w:pPr>
          </w:p>
        </w:tc>
        <w:tc>
          <w:tcPr>
            <w:tcW w:w="1232" w:type="pct"/>
            <w:vMerge w:val="continue"/>
            <w:shd w:val="clear" w:color="auto" w:fill="auto"/>
            <w:tcMar>
              <w:top w:w="0" w:type="dxa"/>
              <w:left w:w="108" w:type="dxa"/>
              <w:bottom w:w="0" w:type="dxa"/>
              <w:right w:w="108" w:type="dxa"/>
            </w:tcMar>
            <w:vAlign w:val="center"/>
          </w:tcPr>
          <w:p w14:paraId="702C2531">
            <w:pPr>
              <w:bidi w:val="0"/>
              <w:rPr>
                <w:rFonts w:hint="eastAsia" w:ascii="仿宋" w:hAnsi="仿宋" w:eastAsia="仿宋" w:cs="仿宋"/>
              </w:rPr>
            </w:pPr>
          </w:p>
        </w:tc>
        <w:tc>
          <w:tcPr>
            <w:tcW w:w="652" w:type="pct"/>
            <w:vMerge w:val="continue"/>
            <w:shd w:val="clear" w:color="auto" w:fill="auto"/>
            <w:tcMar>
              <w:top w:w="0" w:type="dxa"/>
              <w:left w:w="108" w:type="dxa"/>
              <w:bottom w:w="0" w:type="dxa"/>
              <w:right w:w="108" w:type="dxa"/>
            </w:tcMar>
            <w:vAlign w:val="center"/>
          </w:tcPr>
          <w:p w14:paraId="6E45D343">
            <w:pPr>
              <w:bidi w:val="0"/>
              <w:jc w:val="center"/>
              <w:rPr>
                <w:rFonts w:hint="eastAsia" w:ascii="仿宋" w:hAnsi="仿宋" w:eastAsia="仿宋" w:cs="仿宋"/>
              </w:rPr>
            </w:pPr>
          </w:p>
        </w:tc>
        <w:tc>
          <w:tcPr>
            <w:tcW w:w="1540" w:type="pct"/>
            <w:shd w:val="clear" w:color="auto" w:fill="auto"/>
            <w:tcMar>
              <w:top w:w="0" w:type="dxa"/>
              <w:left w:w="108" w:type="dxa"/>
              <w:bottom w:w="0" w:type="dxa"/>
              <w:right w:w="108" w:type="dxa"/>
            </w:tcMar>
            <w:vAlign w:val="center"/>
          </w:tcPr>
          <w:p w14:paraId="37858DB6">
            <w:pPr>
              <w:bidi w:val="0"/>
              <w:rPr>
                <w:rFonts w:hint="eastAsia" w:ascii="仿宋" w:hAnsi="仿宋" w:eastAsia="仿宋" w:cs="仿宋"/>
              </w:rPr>
            </w:pPr>
            <w:r>
              <w:rPr>
                <w:rFonts w:hint="eastAsia" w:ascii="仿宋" w:hAnsi="仿宋" w:eastAsia="仿宋" w:cs="仿宋"/>
                <w:lang w:val="en-US" w:eastAsia="zh-CN"/>
              </w:rPr>
              <w:t>冒领抚恤金、优待金、补助金的，所涉金额较小且冒领时间较短的，事后主动全额退回或在期限内全额退回的；骗取医药费等费用的，所涉金额较小，事后主动全额退回或在期限内全额退回的；出具假证明，伪造证件、印章骗取抚恤金和相关待遇的，所涉金额较小且骗取时间较短，事后主动全额退回或在期限内全额退回的。</w:t>
            </w:r>
          </w:p>
        </w:tc>
        <w:tc>
          <w:tcPr>
            <w:tcW w:w="596" w:type="pct"/>
            <w:shd w:val="clear" w:color="auto" w:fill="auto"/>
            <w:tcMar>
              <w:top w:w="0" w:type="dxa"/>
              <w:left w:w="108" w:type="dxa"/>
              <w:bottom w:w="0" w:type="dxa"/>
              <w:right w:w="108" w:type="dxa"/>
            </w:tcMar>
            <w:vAlign w:val="center"/>
          </w:tcPr>
          <w:p w14:paraId="179239C9">
            <w:pPr>
              <w:bidi w:val="0"/>
              <w:rPr>
                <w:rFonts w:hint="eastAsia" w:ascii="仿宋" w:hAnsi="仿宋" w:eastAsia="仿宋" w:cs="仿宋"/>
              </w:rPr>
            </w:pPr>
            <w:r>
              <w:rPr>
                <w:rFonts w:hint="eastAsia" w:ascii="仿宋" w:hAnsi="仿宋" w:eastAsia="仿宋" w:cs="仿宋"/>
                <w:lang w:val="en-US" w:eastAsia="zh-CN"/>
              </w:rPr>
              <w:t>警告。</w:t>
            </w:r>
          </w:p>
        </w:tc>
      </w:tr>
      <w:tr w14:paraId="68F4F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15" w:type="dxa"/>
            <w:left w:w="15" w:type="dxa"/>
            <w:bottom w:w="15" w:type="dxa"/>
            <w:right w:w="15" w:type="dxa"/>
          </w:tblCellMar>
        </w:tblPrEx>
        <w:trPr>
          <w:trHeight w:val="830" w:hRule="atLeast"/>
          <w:jc w:val="center"/>
        </w:trPr>
        <w:tc>
          <w:tcPr>
            <w:tcW w:w="408" w:type="pct"/>
            <w:vMerge w:val="continue"/>
            <w:shd w:val="clear" w:color="auto" w:fill="auto"/>
            <w:tcMar>
              <w:top w:w="0" w:type="dxa"/>
              <w:left w:w="108" w:type="dxa"/>
              <w:bottom w:w="0" w:type="dxa"/>
              <w:right w:w="108" w:type="dxa"/>
            </w:tcMar>
            <w:vAlign w:val="center"/>
          </w:tcPr>
          <w:p w14:paraId="7340FB34">
            <w:pPr>
              <w:bidi w:val="0"/>
              <w:rPr>
                <w:rFonts w:hint="eastAsia" w:ascii="仿宋" w:hAnsi="仿宋" w:eastAsia="仿宋" w:cs="仿宋"/>
              </w:rPr>
            </w:pPr>
          </w:p>
        </w:tc>
        <w:tc>
          <w:tcPr>
            <w:tcW w:w="570" w:type="pct"/>
            <w:vMerge w:val="continue"/>
            <w:shd w:val="clear" w:color="auto" w:fill="auto"/>
            <w:tcMar>
              <w:top w:w="0" w:type="dxa"/>
              <w:left w:w="108" w:type="dxa"/>
              <w:bottom w:w="0" w:type="dxa"/>
              <w:right w:w="108" w:type="dxa"/>
            </w:tcMar>
            <w:vAlign w:val="center"/>
          </w:tcPr>
          <w:p w14:paraId="5AC16A56">
            <w:pPr>
              <w:bidi w:val="0"/>
              <w:rPr>
                <w:rFonts w:hint="eastAsia" w:ascii="仿宋" w:hAnsi="仿宋" w:eastAsia="仿宋" w:cs="仿宋"/>
              </w:rPr>
            </w:pPr>
          </w:p>
        </w:tc>
        <w:tc>
          <w:tcPr>
            <w:tcW w:w="1232" w:type="pct"/>
            <w:vMerge w:val="continue"/>
            <w:shd w:val="clear" w:color="auto" w:fill="auto"/>
            <w:tcMar>
              <w:top w:w="0" w:type="dxa"/>
              <w:left w:w="108" w:type="dxa"/>
              <w:bottom w:w="0" w:type="dxa"/>
              <w:right w:w="108" w:type="dxa"/>
            </w:tcMar>
            <w:vAlign w:val="center"/>
          </w:tcPr>
          <w:p w14:paraId="19EC5936">
            <w:pPr>
              <w:bidi w:val="0"/>
              <w:rPr>
                <w:rFonts w:hint="eastAsia" w:ascii="仿宋" w:hAnsi="仿宋" w:eastAsia="仿宋" w:cs="仿宋"/>
              </w:rPr>
            </w:pPr>
          </w:p>
        </w:tc>
        <w:tc>
          <w:tcPr>
            <w:tcW w:w="652" w:type="pct"/>
            <w:shd w:val="clear" w:color="auto" w:fill="auto"/>
            <w:tcMar>
              <w:top w:w="0" w:type="dxa"/>
              <w:left w:w="108" w:type="dxa"/>
              <w:bottom w:w="0" w:type="dxa"/>
              <w:right w:w="108" w:type="dxa"/>
            </w:tcMar>
            <w:vAlign w:val="center"/>
          </w:tcPr>
          <w:p w14:paraId="54D869BE">
            <w:pPr>
              <w:bidi w:val="0"/>
              <w:jc w:val="center"/>
              <w:rPr>
                <w:rFonts w:hint="eastAsia" w:ascii="仿宋" w:hAnsi="仿宋" w:eastAsia="仿宋" w:cs="仿宋"/>
              </w:rPr>
            </w:pPr>
            <w:r>
              <w:rPr>
                <w:rFonts w:hint="eastAsia" w:ascii="仿宋" w:hAnsi="仿宋" w:eastAsia="仿宋" w:cs="仿宋"/>
                <w:lang w:val="en-US" w:eastAsia="zh-CN"/>
              </w:rPr>
              <w:t>从重处罚</w:t>
            </w:r>
          </w:p>
        </w:tc>
        <w:tc>
          <w:tcPr>
            <w:tcW w:w="1540" w:type="pct"/>
            <w:shd w:val="clear" w:color="auto" w:fill="auto"/>
            <w:tcMar>
              <w:top w:w="0" w:type="dxa"/>
              <w:left w:w="108" w:type="dxa"/>
              <w:bottom w:w="0" w:type="dxa"/>
              <w:right w:w="108" w:type="dxa"/>
            </w:tcMar>
            <w:vAlign w:val="center"/>
          </w:tcPr>
          <w:p w14:paraId="3A7EB06A">
            <w:pPr>
              <w:bidi w:val="0"/>
              <w:rPr>
                <w:rFonts w:hint="eastAsia" w:ascii="仿宋" w:hAnsi="仿宋" w:eastAsia="仿宋" w:cs="仿宋"/>
              </w:rPr>
            </w:pPr>
            <w:r>
              <w:rPr>
                <w:rFonts w:hint="eastAsia" w:ascii="仿宋" w:hAnsi="仿宋" w:eastAsia="仿宋" w:cs="仿宋"/>
                <w:lang w:val="en-US" w:eastAsia="zh-CN"/>
              </w:rPr>
              <w:t>冒领抚恤金、优待金、补助金的，所涉金额较大或者冒领时间较长或者责令限期退回而拒不退回的；骗取医药费等费用的，所涉金额较大或者责令限期退回而拒不退回的；出具假证明，伪造证件、印章骗取抚恤金和相关待遇的，所涉金额较大或者骗取时间较长，责令限期退回而拒不退回的。</w:t>
            </w:r>
          </w:p>
        </w:tc>
        <w:tc>
          <w:tcPr>
            <w:tcW w:w="596" w:type="pct"/>
            <w:shd w:val="clear" w:color="auto" w:fill="auto"/>
            <w:tcMar>
              <w:top w:w="0" w:type="dxa"/>
              <w:left w:w="108" w:type="dxa"/>
              <w:bottom w:w="0" w:type="dxa"/>
              <w:right w:w="108" w:type="dxa"/>
            </w:tcMar>
            <w:vAlign w:val="center"/>
          </w:tcPr>
          <w:p w14:paraId="4D76C153">
            <w:pPr>
              <w:bidi w:val="0"/>
              <w:rPr>
                <w:rFonts w:hint="eastAsia" w:ascii="仿宋" w:hAnsi="仿宋" w:eastAsia="仿宋" w:cs="仿宋"/>
              </w:rPr>
            </w:pPr>
            <w:r>
              <w:rPr>
                <w:rFonts w:hint="eastAsia" w:ascii="仿宋" w:hAnsi="仿宋" w:eastAsia="仿宋" w:cs="仿宋"/>
                <w:lang w:val="en-US" w:eastAsia="zh-CN"/>
              </w:rPr>
              <w:t>警告；停止其享受的抚恤、优待；涉嫌犯罪的，移送相关部门。</w:t>
            </w:r>
          </w:p>
        </w:tc>
      </w:tr>
      <w:tr w14:paraId="6889E0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0" w:hRule="atLeast"/>
          <w:jc w:val="center"/>
        </w:trPr>
        <w:tc>
          <w:tcPr>
            <w:tcW w:w="408" w:type="pct"/>
            <w:vMerge w:val="restart"/>
            <w:shd w:val="clear" w:color="auto" w:fill="auto"/>
            <w:tcMar>
              <w:top w:w="0" w:type="dxa"/>
              <w:left w:w="108" w:type="dxa"/>
              <w:bottom w:w="0" w:type="dxa"/>
              <w:right w:w="108" w:type="dxa"/>
            </w:tcMar>
            <w:vAlign w:val="center"/>
          </w:tcPr>
          <w:p w14:paraId="7E05DC3F">
            <w:pPr>
              <w:bidi w:val="0"/>
              <w:jc w:val="center"/>
              <w:rPr>
                <w:rFonts w:hint="eastAsia" w:ascii="仿宋" w:hAnsi="仿宋" w:eastAsia="仿宋" w:cs="仿宋"/>
              </w:rPr>
            </w:pPr>
            <w:r>
              <w:rPr>
                <w:rFonts w:hint="eastAsia" w:ascii="仿宋" w:hAnsi="仿宋" w:eastAsia="仿宋" w:cs="仿宋"/>
                <w:lang w:val="en-US" w:eastAsia="zh-CN"/>
              </w:rPr>
              <w:t>2</w:t>
            </w:r>
          </w:p>
        </w:tc>
        <w:tc>
          <w:tcPr>
            <w:tcW w:w="570" w:type="pct"/>
            <w:vMerge w:val="restart"/>
            <w:shd w:val="clear" w:color="auto" w:fill="auto"/>
            <w:tcMar>
              <w:top w:w="0" w:type="dxa"/>
              <w:left w:w="108" w:type="dxa"/>
              <w:bottom w:w="0" w:type="dxa"/>
              <w:right w:w="108" w:type="dxa"/>
            </w:tcMar>
            <w:vAlign w:val="center"/>
          </w:tcPr>
          <w:p w14:paraId="3DD90B8D">
            <w:pPr>
              <w:bidi w:val="0"/>
              <w:rPr>
                <w:rFonts w:hint="eastAsia" w:ascii="仿宋" w:hAnsi="仿宋" w:eastAsia="仿宋" w:cs="仿宋"/>
              </w:rPr>
            </w:pPr>
            <w:r>
              <w:rPr>
                <w:rFonts w:hint="eastAsia" w:ascii="仿宋" w:hAnsi="仿宋" w:eastAsia="仿宋" w:cs="仿宋"/>
                <w:lang w:val="en-US" w:eastAsia="zh-CN"/>
              </w:rPr>
              <w:t>违反安置规定</w:t>
            </w:r>
          </w:p>
        </w:tc>
        <w:tc>
          <w:tcPr>
            <w:tcW w:w="1232" w:type="pct"/>
            <w:vMerge w:val="restart"/>
            <w:shd w:val="clear" w:color="auto" w:fill="auto"/>
            <w:tcMar>
              <w:top w:w="0" w:type="dxa"/>
              <w:left w:w="108" w:type="dxa"/>
              <w:bottom w:w="0" w:type="dxa"/>
              <w:right w:w="108" w:type="dxa"/>
            </w:tcMar>
            <w:vAlign w:val="center"/>
          </w:tcPr>
          <w:p w14:paraId="4E383F29">
            <w:pPr>
              <w:bidi w:val="0"/>
              <w:rPr>
                <w:rFonts w:hint="eastAsia" w:ascii="仿宋" w:hAnsi="仿宋" w:eastAsia="仿宋" w:cs="仿宋"/>
              </w:rPr>
            </w:pPr>
            <w:r>
              <w:rPr>
                <w:rFonts w:hint="eastAsia" w:ascii="仿宋" w:hAnsi="仿宋" w:eastAsia="仿宋" w:cs="仿宋"/>
                <w:lang w:val="en-US" w:eastAsia="zh-CN"/>
              </w:rPr>
              <w:t>（1）《退役军人保障法》第七十七条：“违反本法规定，拒绝或者无故拖延执行退役军人安置任务的，由安置地人民政府退役军人工作主管部门责令限期改正；逾期不改正的，予以通报批评。对该单位主要负责人和直接责任人员，由有关部门依法给予处分。”</w:t>
            </w:r>
          </w:p>
          <w:p w14:paraId="497C2F54">
            <w:pPr>
              <w:bidi w:val="0"/>
              <w:rPr>
                <w:rFonts w:hint="eastAsia" w:ascii="仿宋" w:hAnsi="仿宋" w:eastAsia="仿宋" w:cs="仿宋"/>
              </w:rPr>
            </w:pPr>
            <w:r>
              <w:rPr>
                <w:rFonts w:hint="eastAsia" w:ascii="仿宋" w:hAnsi="仿宋" w:eastAsia="仿宋" w:cs="仿宋"/>
                <w:lang w:val="en-US" w:eastAsia="zh-CN"/>
              </w:rPr>
              <w:t>（2）《退役士兵安置条例》第五十条：“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一）拒绝或者无故拖延执行人民政府下达的安排退役士兵工作任务的；（二）未依法与退役士兵签订劳动合同、聘用合同的；（三）与残疾退役士兵解除劳动关系或者人事关系的。”</w:t>
            </w:r>
          </w:p>
        </w:tc>
        <w:tc>
          <w:tcPr>
            <w:tcW w:w="652" w:type="pct"/>
            <w:shd w:val="clear" w:color="auto" w:fill="auto"/>
            <w:tcMar>
              <w:top w:w="0" w:type="dxa"/>
              <w:left w:w="108" w:type="dxa"/>
              <w:bottom w:w="0" w:type="dxa"/>
              <w:right w:w="108" w:type="dxa"/>
            </w:tcMar>
            <w:vAlign w:val="center"/>
          </w:tcPr>
          <w:p w14:paraId="20184EF7">
            <w:pPr>
              <w:bidi w:val="0"/>
              <w:jc w:val="center"/>
              <w:rPr>
                <w:rFonts w:hint="eastAsia" w:ascii="仿宋" w:hAnsi="仿宋" w:eastAsia="仿宋" w:cs="仿宋"/>
              </w:rPr>
            </w:pPr>
            <w:r>
              <w:rPr>
                <w:rFonts w:hint="eastAsia" w:ascii="仿宋" w:hAnsi="仿宋" w:eastAsia="仿宋" w:cs="仿宋"/>
                <w:lang w:val="en-US" w:eastAsia="zh-CN"/>
              </w:rPr>
              <w:t>免予处罚</w:t>
            </w:r>
          </w:p>
        </w:tc>
        <w:tc>
          <w:tcPr>
            <w:tcW w:w="1540" w:type="pct"/>
            <w:shd w:val="clear" w:color="auto" w:fill="auto"/>
            <w:tcMar>
              <w:top w:w="0" w:type="dxa"/>
              <w:left w:w="108" w:type="dxa"/>
              <w:bottom w:w="0" w:type="dxa"/>
              <w:right w:w="108" w:type="dxa"/>
            </w:tcMar>
            <w:vAlign w:val="center"/>
          </w:tcPr>
          <w:p w14:paraId="13C82CC0">
            <w:pPr>
              <w:bidi w:val="0"/>
              <w:rPr>
                <w:rFonts w:hint="eastAsia" w:ascii="仿宋" w:hAnsi="仿宋" w:eastAsia="仿宋" w:cs="仿宋"/>
              </w:rPr>
            </w:pPr>
            <w:r>
              <w:rPr>
                <w:rFonts w:hint="eastAsia" w:ascii="仿宋" w:hAnsi="仿宋" w:eastAsia="仿宋" w:cs="仿宋"/>
                <w:lang w:val="en-US" w:eastAsia="zh-CN"/>
              </w:rPr>
              <w:t>接收安置退役士兵的单位违反安置规定的，在责令限期整改时限内整改落实到位，没有造成危害后果的；初次违法，危害后果轻微，及时改正的。</w:t>
            </w:r>
          </w:p>
        </w:tc>
        <w:tc>
          <w:tcPr>
            <w:tcW w:w="596" w:type="pct"/>
            <w:shd w:val="clear" w:color="auto" w:fill="auto"/>
            <w:tcMar>
              <w:top w:w="0" w:type="dxa"/>
              <w:left w:w="108" w:type="dxa"/>
              <w:bottom w:w="0" w:type="dxa"/>
              <w:right w:w="108" w:type="dxa"/>
            </w:tcMar>
            <w:vAlign w:val="center"/>
          </w:tcPr>
          <w:p w14:paraId="411B6004">
            <w:pPr>
              <w:bidi w:val="0"/>
              <w:rPr>
                <w:rFonts w:hint="eastAsia" w:ascii="仿宋" w:hAnsi="仿宋" w:eastAsia="仿宋" w:cs="仿宋"/>
              </w:rPr>
            </w:pPr>
            <w:r>
              <w:rPr>
                <w:rFonts w:hint="eastAsia" w:ascii="仿宋" w:hAnsi="仿宋" w:eastAsia="仿宋" w:cs="仿宋"/>
                <w:lang w:val="en-US" w:eastAsia="zh-CN"/>
              </w:rPr>
              <w:t>免予处罚</w:t>
            </w:r>
          </w:p>
        </w:tc>
      </w:tr>
      <w:tr w14:paraId="291D1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21" w:hRule="atLeast"/>
          <w:jc w:val="center"/>
        </w:trPr>
        <w:tc>
          <w:tcPr>
            <w:tcW w:w="408" w:type="pct"/>
            <w:vMerge w:val="continue"/>
            <w:shd w:val="clear" w:color="auto" w:fill="auto"/>
            <w:tcMar>
              <w:top w:w="0" w:type="dxa"/>
              <w:left w:w="108" w:type="dxa"/>
              <w:bottom w:w="0" w:type="dxa"/>
              <w:right w:w="108" w:type="dxa"/>
            </w:tcMar>
            <w:vAlign w:val="center"/>
          </w:tcPr>
          <w:p w14:paraId="732B2444">
            <w:pPr>
              <w:bidi w:val="0"/>
              <w:rPr>
                <w:rFonts w:hint="eastAsia" w:ascii="仿宋" w:hAnsi="仿宋" w:eastAsia="仿宋" w:cs="仿宋"/>
              </w:rPr>
            </w:pPr>
          </w:p>
        </w:tc>
        <w:tc>
          <w:tcPr>
            <w:tcW w:w="570" w:type="pct"/>
            <w:vMerge w:val="continue"/>
            <w:shd w:val="clear" w:color="auto" w:fill="auto"/>
            <w:tcMar>
              <w:top w:w="0" w:type="dxa"/>
              <w:left w:w="108" w:type="dxa"/>
              <w:bottom w:w="0" w:type="dxa"/>
              <w:right w:w="108" w:type="dxa"/>
            </w:tcMar>
            <w:vAlign w:val="center"/>
          </w:tcPr>
          <w:p w14:paraId="20A990DE">
            <w:pPr>
              <w:bidi w:val="0"/>
              <w:rPr>
                <w:rFonts w:hint="eastAsia" w:ascii="仿宋" w:hAnsi="仿宋" w:eastAsia="仿宋" w:cs="仿宋"/>
              </w:rPr>
            </w:pPr>
          </w:p>
        </w:tc>
        <w:tc>
          <w:tcPr>
            <w:tcW w:w="1232" w:type="pct"/>
            <w:vMerge w:val="continue"/>
            <w:shd w:val="clear" w:color="auto" w:fill="auto"/>
            <w:tcMar>
              <w:top w:w="0" w:type="dxa"/>
              <w:left w:w="108" w:type="dxa"/>
              <w:bottom w:w="0" w:type="dxa"/>
              <w:right w:w="108" w:type="dxa"/>
            </w:tcMar>
            <w:vAlign w:val="center"/>
          </w:tcPr>
          <w:p w14:paraId="7C60ED1E">
            <w:pPr>
              <w:bidi w:val="0"/>
              <w:rPr>
                <w:rFonts w:hint="eastAsia" w:ascii="仿宋" w:hAnsi="仿宋" w:eastAsia="仿宋" w:cs="仿宋"/>
              </w:rPr>
            </w:pPr>
          </w:p>
        </w:tc>
        <w:tc>
          <w:tcPr>
            <w:tcW w:w="652" w:type="pct"/>
            <w:vMerge w:val="restart"/>
            <w:shd w:val="clear" w:color="auto" w:fill="auto"/>
            <w:tcMar>
              <w:top w:w="0" w:type="dxa"/>
              <w:left w:w="108" w:type="dxa"/>
              <w:bottom w:w="0" w:type="dxa"/>
              <w:right w:w="108" w:type="dxa"/>
            </w:tcMar>
            <w:vAlign w:val="center"/>
          </w:tcPr>
          <w:p w14:paraId="20BB6906">
            <w:pPr>
              <w:bidi w:val="0"/>
              <w:jc w:val="center"/>
              <w:rPr>
                <w:rFonts w:hint="eastAsia" w:ascii="仿宋" w:hAnsi="仿宋" w:eastAsia="仿宋" w:cs="仿宋"/>
              </w:rPr>
            </w:pPr>
            <w:r>
              <w:rPr>
                <w:rFonts w:hint="eastAsia" w:ascii="仿宋" w:hAnsi="仿宋" w:eastAsia="仿宋" w:cs="仿宋"/>
                <w:lang w:val="en-US" w:eastAsia="zh-CN"/>
              </w:rPr>
              <w:t>一般处罚</w:t>
            </w:r>
          </w:p>
        </w:tc>
        <w:tc>
          <w:tcPr>
            <w:tcW w:w="1540" w:type="pct"/>
            <w:shd w:val="clear" w:color="auto" w:fill="auto"/>
            <w:tcMar>
              <w:top w:w="0" w:type="dxa"/>
              <w:left w:w="108" w:type="dxa"/>
              <w:bottom w:w="0" w:type="dxa"/>
              <w:right w:w="108" w:type="dxa"/>
            </w:tcMar>
            <w:vAlign w:val="center"/>
          </w:tcPr>
          <w:p w14:paraId="3F8C09AA">
            <w:pPr>
              <w:bidi w:val="0"/>
              <w:rPr>
                <w:rFonts w:hint="eastAsia" w:ascii="仿宋" w:hAnsi="仿宋" w:eastAsia="仿宋" w:cs="仿宋"/>
              </w:rPr>
            </w:pPr>
            <w:r>
              <w:rPr>
                <w:rFonts w:hint="eastAsia" w:ascii="仿宋" w:hAnsi="仿宋" w:eastAsia="仿宋" w:cs="仿宋"/>
                <w:lang w:val="en-US" w:eastAsia="zh-CN"/>
              </w:rPr>
              <w:t>违反本法规定，拒绝或者无故拖延执行退役军人安置任务的。</w:t>
            </w:r>
          </w:p>
        </w:tc>
        <w:tc>
          <w:tcPr>
            <w:tcW w:w="596" w:type="pct"/>
            <w:shd w:val="clear" w:color="auto" w:fill="auto"/>
            <w:tcMar>
              <w:top w:w="0" w:type="dxa"/>
              <w:left w:w="108" w:type="dxa"/>
              <w:bottom w:w="0" w:type="dxa"/>
              <w:right w:w="108" w:type="dxa"/>
            </w:tcMar>
            <w:vAlign w:val="center"/>
          </w:tcPr>
          <w:p w14:paraId="4F5E6428">
            <w:pPr>
              <w:bidi w:val="0"/>
              <w:rPr>
                <w:rFonts w:hint="eastAsia" w:ascii="仿宋" w:hAnsi="仿宋" w:eastAsia="仿宋" w:cs="仿宋"/>
              </w:rPr>
            </w:pPr>
            <w:r>
              <w:rPr>
                <w:rFonts w:hint="eastAsia" w:ascii="仿宋" w:hAnsi="仿宋" w:eastAsia="仿宋" w:cs="仿宋"/>
                <w:lang w:val="en-US" w:eastAsia="zh-CN"/>
              </w:rPr>
              <w:t>由安置地人民政府退役军人工作主管部门责令限期改正；逾期不改正的，予以通报批评。</w:t>
            </w:r>
          </w:p>
        </w:tc>
      </w:tr>
      <w:tr w14:paraId="0EF7E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11" w:hRule="atLeast"/>
          <w:jc w:val="center"/>
        </w:trPr>
        <w:tc>
          <w:tcPr>
            <w:tcW w:w="408" w:type="pct"/>
            <w:vMerge w:val="continue"/>
            <w:shd w:val="clear" w:color="auto" w:fill="auto"/>
            <w:tcMar>
              <w:top w:w="0" w:type="dxa"/>
              <w:left w:w="108" w:type="dxa"/>
              <w:bottom w:w="0" w:type="dxa"/>
              <w:right w:w="108" w:type="dxa"/>
            </w:tcMar>
            <w:vAlign w:val="center"/>
          </w:tcPr>
          <w:p w14:paraId="7BFE01E4">
            <w:pPr>
              <w:bidi w:val="0"/>
              <w:rPr>
                <w:rFonts w:hint="eastAsia" w:ascii="仿宋" w:hAnsi="仿宋" w:eastAsia="仿宋" w:cs="仿宋"/>
              </w:rPr>
            </w:pPr>
          </w:p>
        </w:tc>
        <w:tc>
          <w:tcPr>
            <w:tcW w:w="570" w:type="pct"/>
            <w:vMerge w:val="continue"/>
            <w:shd w:val="clear" w:color="auto" w:fill="auto"/>
            <w:tcMar>
              <w:top w:w="0" w:type="dxa"/>
              <w:left w:w="108" w:type="dxa"/>
              <w:bottom w:w="0" w:type="dxa"/>
              <w:right w:w="108" w:type="dxa"/>
            </w:tcMar>
            <w:vAlign w:val="center"/>
          </w:tcPr>
          <w:p w14:paraId="078D94F9">
            <w:pPr>
              <w:bidi w:val="0"/>
              <w:rPr>
                <w:rFonts w:hint="eastAsia" w:ascii="仿宋" w:hAnsi="仿宋" w:eastAsia="仿宋" w:cs="仿宋"/>
              </w:rPr>
            </w:pPr>
          </w:p>
        </w:tc>
        <w:tc>
          <w:tcPr>
            <w:tcW w:w="1232" w:type="pct"/>
            <w:vMerge w:val="continue"/>
            <w:shd w:val="clear" w:color="auto" w:fill="auto"/>
            <w:tcMar>
              <w:top w:w="0" w:type="dxa"/>
              <w:left w:w="108" w:type="dxa"/>
              <w:bottom w:w="0" w:type="dxa"/>
              <w:right w:w="108" w:type="dxa"/>
            </w:tcMar>
            <w:vAlign w:val="center"/>
          </w:tcPr>
          <w:p w14:paraId="07148DA1">
            <w:pPr>
              <w:bidi w:val="0"/>
              <w:rPr>
                <w:rFonts w:hint="eastAsia" w:ascii="仿宋" w:hAnsi="仿宋" w:eastAsia="仿宋" w:cs="仿宋"/>
              </w:rPr>
            </w:pPr>
          </w:p>
        </w:tc>
        <w:tc>
          <w:tcPr>
            <w:tcW w:w="652" w:type="pct"/>
            <w:vMerge w:val="continue"/>
            <w:shd w:val="clear" w:color="auto" w:fill="auto"/>
            <w:tcMar>
              <w:top w:w="0" w:type="dxa"/>
              <w:left w:w="108" w:type="dxa"/>
              <w:bottom w:w="0" w:type="dxa"/>
              <w:right w:w="108" w:type="dxa"/>
            </w:tcMar>
            <w:vAlign w:val="center"/>
          </w:tcPr>
          <w:p w14:paraId="44208777">
            <w:pPr>
              <w:bidi w:val="0"/>
              <w:rPr>
                <w:rFonts w:hint="eastAsia" w:ascii="仿宋" w:hAnsi="仿宋" w:eastAsia="仿宋" w:cs="仿宋"/>
              </w:rPr>
            </w:pPr>
          </w:p>
        </w:tc>
        <w:tc>
          <w:tcPr>
            <w:tcW w:w="1540" w:type="pct"/>
            <w:shd w:val="clear" w:color="auto" w:fill="auto"/>
            <w:tcMar>
              <w:top w:w="0" w:type="dxa"/>
              <w:left w:w="108" w:type="dxa"/>
              <w:bottom w:w="0" w:type="dxa"/>
              <w:right w:w="108" w:type="dxa"/>
            </w:tcMar>
            <w:vAlign w:val="center"/>
          </w:tcPr>
          <w:p w14:paraId="2A86CC42">
            <w:pPr>
              <w:bidi w:val="0"/>
              <w:rPr>
                <w:rFonts w:hint="eastAsia" w:ascii="仿宋" w:hAnsi="仿宋" w:eastAsia="仿宋" w:cs="仿宋"/>
              </w:rPr>
            </w:pPr>
            <w:r>
              <w:rPr>
                <w:rFonts w:hint="eastAsia" w:ascii="仿宋" w:hAnsi="仿宋" w:eastAsia="仿宋" w:cs="仿宋"/>
                <w:lang w:val="en-US" w:eastAsia="zh-CN"/>
              </w:rPr>
              <w:t>有下列情形之一的：（一）拒绝或者无故拖延执行人民政府下达的安排退役士兵工作任务的；（二）未依法与退役士兵签订劳动合同、聘用合同的；（三）与残疾退役士兵解除劳动关系或者人事关系的。</w:t>
            </w:r>
          </w:p>
        </w:tc>
        <w:tc>
          <w:tcPr>
            <w:tcW w:w="596" w:type="pct"/>
            <w:shd w:val="clear" w:color="auto" w:fill="auto"/>
            <w:tcMar>
              <w:top w:w="0" w:type="dxa"/>
              <w:left w:w="108" w:type="dxa"/>
              <w:bottom w:w="0" w:type="dxa"/>
              <w:right w:w="108" w:type="dxa"/>
            </w:tcMar>
            <w:vAlign w:val="center"/>
          </w:tcPr>
          <w:p w14:paraId="34FA2A49">
            <w:pPr>
              <w:bidi w:val="0"/>
              <w:rPr>
                <w:rFonts w:hint="eastAsia" w:ascii="仿宋" w:hAnsi="仿宋" w:eastAsia="仿宋" w:cs="仿宋"/>
              </w:rPr>
            </w:pPr>
            <w:r>
              <w:rPr>
                <w:rFonts w:hint="eastAsia" w:ascii="仿宋" w:hAnsi="仿宋" w:eastAsia="仿宋" w:cs="仿宋"/>
                <w:lang w:val="en-US" w:eastAsia="zh-CN"/>
              </w:rPr>
              <w:t>由当地人民政府退役士兵安置工作主管部门责令限期改正。逾期不改的，对企业按照涉及退役士兵人数乘以当地上年度城镇职工平均工资10倍的金额处以罚款，并对接收单位及其主要负责人予以通报批评。</w:t>
            </w:r>
          </w:p>
        </w:tc>
      </w:tr>
      <w:tr w14:paraId="713CA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51" w:hRule="atLeast"/>
          <w:jc w:val="center"/>
        </w:trPr>
        <w:tc>
          <w:tcPr>
            <w:tcW w:w="408" w:type="pct"/>
            <w:shd w:val="clear" w:color="auto" w:fill="auto"/>
            <w:tcMar>
              <w:top w:w="0" w:type="dxa"/>
              <w:left w:w="108" w:type="dxa"/>
              <w:bottom w:w="0" w:type="dxa"/>
              <w:right w:w="108" w:type="dxa"/>
            </w:tcMar>
            <w:vAlign w:val="center"/>
          </w:tcPr>
          <w:p w14:paraId="3BA155E6">
            <w:pPr>
              <w:bidi w:val="0"/>
              <w:jc w:val="center"/>
              <w:rPr>
                <w:rFonts w:hint="eastAsia" w:ascii="仿宋" w:hAnsi="仿宋" w:eastAsia="仿宋" w:cs="仿宋"/>
              </w:rPr>
            </w:pPr>
            <w:r>
              <w:rPr>
                <w:rFonts w:hint="eastAsia" w:ascii="仿宋" w:hAnsi="仿宋" w:eastAsia="仿宋" w:cs="仿宋"/>
                <w:lang w:val="en-US" w:eastAsia="zh-CN"/>
              </w:rPr>
              <w:t>3</w:t>
            </w:r>
          </w:p>
        </w:tc>
        <w:tc>
          <w:tcPr>
            <w:tcW w:w="570" w:type="pct"/>
            <w:shd w:val="clear" w:color="auto" w:fill="auto"/>
            <w:tcMar>
              <w:top w:w="0" w:type="dxa"/>
              <w:left w:w="108" w:type="dxa"/>
              <w:bottom w:w="0" w:type="dxa"/>
              <w:right w:w="108" w:type="dxa"/>
            </w:tcMar>
            <w:vAlign w:val="center"/>
          </w:tcPr>
          <w:p w14:paraId="008ED8AF">
            <w:pPr>
              <w:bidi w:val="0"/>
              <w:rPr>
                <w:rFonts w:hint="eastAsia" w:ascii="仿宋" w:hAnsi="仿宋" w:eastAsia="仿宋" w:cs="仿宋"/>
              </w:rPr>
            </w:pPr>
            <w:r>
              <w:rPr>
                <w:rFonts w:hint="eastAsia" w:ascii="仿宋" w:hAnsi="仿宋" w:eastAsia="仿宋" w:cs="仿宋"/>
                <w:lang w:val="en-US" w:eastAsia="zh-CN"/>
              </w:rPr>
              <w:t>弄虚作假骗取安置待遇</w:t>
            </w:r>
          </w:p>
        </w:tc>
        <w:tc>
          <w:tcPr>
            <w:tcW w:w="1232" w:type="pct"/>
            <w:shd w:val="clear" w:color="auto" w:fill="auto"/>
            <w:tcMar>
              <w:top w:w="0" w:type="dxa"/>
              <w:left w:w="108" w:type="dxa"/>
              <w:bottom w:w="0" w:type="dxa"/>
              <w:right w:w="108" w:type="dxa"/>
            </w:tcMar>
            <w:vAlign w:val="center"/>
          </w:tcPr>
          <w:p w14:paraId="5F669123">
            <w:pPr>
              <w:bidi w:val="0"/>
              <w:rPr>
                <w:rFonts w:hint="eastAsia" w:ascii="仿宋" w:hAnsi="仿宋" w:eastAsia="仿宋" w:cs="仿宋"/>
              </w:rPr>
            </w:pPr>
            <w:r>
              <w:rPr>
                <w:rFonts w:hint="eastAsia" w:ascii="仿宋" w:hAnsi="仿宋" w:eastAsia="仿宋" w:cs="仿宋"/>
                <w:lang w:val="en-US" w:eastAsia="zh-CN"/>
              </w:rPr>
              <w:t>《退役士兵安置条例》第五十一条：“退役士兵弄虚作假骗取安置待遇的，由安置地人民政府退役士兵安置工作主管部门取消相关安置待遇。”</w:t>
            </w:r>
          </w:p>
          <w:p w14:paraId="6D3FE67E">
            <w:pPr>
              <w:bidi w:val="0"/>
              <w:rPr>
                <w:rFonts w:hint="eastAsia" w:ascii="仿宋" w:hAnsi="仿宋" w:eastAsia="仿宋" w:cs="仿宋"/>
              </w:rPr>
            </w:pPr>
            <w:r>
              <w:rPr>
                <w:rFonts w:hint="eastAsia" w:ascii="仿宋" w:hAnsi="仿宋" w:eastAsia="仿宋" w:cs="仿宋"/>
                <w:lang w:val="en-US" w:eastAsia="zh-CN"/>
              </w:rPr>
              <w:t> </w:t>
            </w:r>
          </w:p>
        </w:tc>
        <w:tc>
          <w:tcPr>
            <w:tcW w:w="652" w:type="pct"/>
            <w:shd w:val="clear" w:color="auto" w:fill="auto"/>
            <w:tcMar>
              <w:top w:w="0" w:type="dxa"/>
              <w:left w:w="108" w:type="dxa"/>
              <w:bottom w:w="0" w:type="dxa"/>
              <w:right w:w="108" w:type="dxa"/>
            </w:tcMar>
            <w:vAlign w:val="center"/>
          </w:tcPr>
          <w:p w14:paraId="54D34F22">
            <w:pPr>
              <w:bidi w:val="0"/>
              <w:jc w:val="center"/>
              <w:rPr>
                <w:rFonts w:hint="eastAsia" w:ascii="仿宋" w:hAnsi="仿宋" w:eastAsia="仿宋" w:cs="仿宋"/>
              </w:rPr>
            </w:pPr>
            <w:r>
              <w:rPr>
                <w:rFonts w:hint="eastAsia" w:ascii="仿宋" w:hAnsi="仿宋" w:eastAsia="仿宋" w:cs="仿宋"/>
                <w:lang w:val="en-US" w:eastAsia="zh-CN"/>
              </w:rPr>
              <w:t>一般处罚</w:t>
            </w:r>
          </w:p>
        </w:tc>
        <w:tc>
          <w:tcPr>
            <w:tcW w:w="1540" w:type="pct"/>
            <w:shd w:val="clear" w:color="auto" w:fill="auto"/>
            <w:tcMar>
              <w:top w:w="0" w:type="dxa"/>
              <w:left w:w="108" w:type="dxa"/>
              <w:bottom w:w="0" w:type="dxa"/>
              <w:right w:w="108" w:type="dxa"/>
            </w:tcMar>
            <w:vAlign w:val="center"/>
          </w:tcPr>
          <w:p w14:paraId="4328E799">
            <w:pPr>
              <w:bidi w:val="0"/>
              <w:rPr>
                <w:rFonts w:hint="eastAsia" w:ascii="仿宋" w:hAnsi="仿宋" w:eastAsia="仿宋" w:cs="仿宋"/>
              </w:rPr>
            </w:pPr>
            <w:r>
              <w:rPr>
                <w:rFonts w:hint="eastAsia" w:ascii="仿宋" w:hAnsi="仿宋" w:eastAsia="仿宋" w:cs="仿宋"/>
                <w:lang w:val="en-US" w:eastAsia="zh-CN"/>
              </w:rPr>
              <w:t>退役士兵弄虚作假骗取安置待遇的。</w:t>
            </w:r>
          </w:p>
        </w:tc>
        <w:tc>
          <w:tcPr>
            <w:tcW w:w="596" w:type="pct"/>
            <w:shd w:val="clear" w:color="auto" w:fill="auto"/>
            <w:tcMar>
              <w:top w:w="0" w:type="dxa"/>
              <w:left w:w="108" w:type="dxa"/>
              <w:bottom w:w="0" w:type="dxa"/>
              <w:right w:w="108" w:type="dxa"/>
            </w:tcMar>
            <w:vAlign w:val="center"/>
          </w:tcPr>
          <w:p w14:paraId="42F24AB1">
            <w:pPr>
              <w:bidi w:val="0"/>
              <w:rPr>
                <w:rFonts w:hint="eastAsia" w:ascii="仿宋" w:hAnsi="仿宋" w:eastAsia="仿宋" w:cs="仿宋"/>
              </w:rPr>
            </w:pPr>
            <w:r>
              <w:rPr>
                <w:rFonts w:hint="eastAsia" w:ascii="仿宋" w:hAnsi="仿宋" w:eastAsia="仿宋" w:cs="仿宋"/>
                <w:lang w:val="en-US" w:eastAsia="zh-CN"/>
              </w:rPr>
              <w:t>安置地人民政府退役士兵安置工作主管部门取消相关安置待遇。</w:t>
            </w:r>
          </w:p>
        </w:tc>
      </w:tr>
    </w:tbl>
    <w:p w14:paraId="235A020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七、广元市退役军人事务局分类检查事项目录和不予、免予、从轻、减轻、从重行政处罚清单</w:t>
      </w:r>
    </w:p>
    <w:p w14:paraId="2ABAC3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（一）广元市退役军人事务局分类检查事项目录</w:t>
      </w:r>
    </w:p>
    <w:tbl>
      <w:tblPr>
        <w:tblStyle w:val="6"/>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70"/>
        <w:gridCol w:w="1287"/>
        <w:gridCol w:w="630"/>
        <w:gridCol w:w="1010"/>
        <w:gridCol w:w="1463"/>
        <w:gridCol w:w="1160"/>
        <w:gridCol w:w="1834"/>
        <w:gridCol w:w="1309"/>
      </w:tblGrid>
      <w:tr w14:paraId="1AC1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blHeader/>
          <w:jc w:val="center"/>
        </w:trPr>
        <w:tc>
          <w:tcPr>
            <w:tcW w:w="470" w:type="dxa"/>
            <w:vAlign w:val="center"/>
          </w:tcPr>
          <w:p w14:paraId="0B7EEA03">
            <w:pPr>
              <w:spacing w:line="320" w:lineRule="exact"/>
              <w:jc w:val="center"/>
              <w:rPr>
                <w:rFonts w:ascii="黑体" w:eastAsia="黑体"/>
                <w:sz w:val="22"/>
                <w:szCs w:val="22"/>
              </w:rPr>
            </w:pPr>
            <w:r>
              <w:rPr>
                <w:rFonts w:hint="eastAsia" w:ascii="黑体" w:eastAsia="黑体"/>
                <w:sz w:val="22"/>
                <w:szCs w:val="22"/>
              </w:rPr>
              <w:t>序号</w:t>
            </w:r>
          </w:p>
        </w:tc>
        <w:tc>
          <w:tcPr>
            <w:tcW w:w="1287" w:type="dxa"/>
            <w:vAlign w:val="center"/>
          </w:tcPr>
          <w:p w14:paraId="3CFC7748">
            <w:pPr>
              <w:spacing w:line="320" w:lineRule="exact"/>
              <w:jc w:val="center"/>
              <w:rPr>
                <w:rFonts w:hint="default" w:ascii="黑体" w:eastAsia="黑体"/>
                <w:sz w:val="22"/>
                <w:szCs w:val="22"/>
                <w:lang w:val="en-US" w:eastAsia="zh-CN"/>
              </w:rPr>
            </w:pPr>
            <w:r>
              <w:rPr>
                <w:rFonts w:hint="eastAsia" w:ascii="黑体" w:eastAsia="黑体"/>
                <w:sz w:val="22"/>
                <w:szCs w:val="22"/>
                <w:lang w:val="en-US" w:eastAsia="zh-CN"/>
              </w:rPr>
              <w:t>事项名称</w:t>
            </w:r>
          </w:p>
        </w:tc>
        <w:tc>
          <w:tcPr>
            <w:tcW w:w="630" w:type="dxa"/>
            <w:vAlign w:val="center"/>
          </w:tcPr>
          <w:p w14:paraId="6F64A0CA">
            <w:pPr>
              <w:spacing w:line="320" w:lineRule="exact"/>
              <w:jc w:val="center"/>
              <w:rPr>
                <w:rFonts w:hint="eastAsia" w:ascii="黑体" w:eastAsia="黑体"/>
                <w:sz w:val="22"/>
                <w:szCs w:val="22"/>
                <w:lang w:eastAsia="zh-CN"/>
              </w:rPr>
            </w:pPr>
            <w:r>
              <w:rPr>
                <w:rFonts w:hint="eastAsia" w:ascii="黑体" w:eastAsia="黑体"/>
                <w:sz w:val="22"/>
                <w:szCs w:val="22"/>
                <w:lang w:eastAsia="zh-CN"/>
              </w:rPr>
              <w:t>行使层级</w:t>
            </w:r>
          </w:p>
        </w:tc>
        <w:tc>
          <w:tcPr>
            <w:tcW w:w="2473" w:type="dxa"/>
            <w:gridSpan w:val="2"/>
            <w:vAlign w:val="center"/>
          </w:tcPr>
          <w:p w14:paraId="75C0297E">
            <w:pPr>
              <w:spacing w:line="320" w:lineRule="exact"/>
              <w:jc w:val="center"/>
              <w:rPr>
                <w:rFonts w:ascii="黑体" w:eastAsia="黑体"/>
                <w:sz w:val="22"/>
                <w:szCs w:val="22"/>
              </w:rPr>
            </w:pPr>
            <w:r>
              <w:rPr>
                <w:rFonts w:hint="eastAsia" w:ascii="黑体" w:eastAsia="黑体"/>
                <w:sz w:val="22"/>
                <w:szCs w:val="22"/>
              </w:rPr>
              <w:t>检查事项划分</w:t>
            </w:r>
          </w:p>
        </w:tc>
        <w:tc>
          <w:tcPr>
            <w:tcW w:w="2994" w:type="dxa"/>
            <w:gridSpan w:val="2"/>
            <w:vAlign w:val="center"/>
          </w:tcPr>
          <w:p w14:paraId="21F060E0">
            <w:pPr>
              <w:bidi w:val="0"/>
              <w:jc w:val="center"/>
              <w:rPr>
                <w:rFonts w:hint="default" w:ascii="黑体" w:eastAsia="黑体"/>
                <w:szCs w:val="22"/>
                <w:lang w:val="en-US" w:eastAsia="zh-CN"/>
              </w:rPr>
            </w:pPr>
            <w:r>
              <w:rPr>
                <w:rFonts w:hint="eastAsia" w:ascii="黑体" w:eastAsia="黑体"/>
                <w:szCs w:val="22"/>
                <w:lang w:val="en-US" w:eastAsia="zh-CN"/>
              </w:rPr>
              <w:t>对象划分</w:t>
            </w:r>
          </w:p>
        </w:tc>
        <w:tc>
          <w:tcPr>
            <w:tcW w:w="1309" w:type="dxa"/>
            <w:vAlign w:val="center"/>
          </w:tcPr>
          <w:p w14:paraId="5FC0FA98">
            <w:pPr>
              <w:spacing w:line="320" w:lineRule="exact"/>
              <w:jc w:val="center"/>
              <w:rPr>
                <w:rFonts w:ascii="黑体" w:eastAsia="黑体"/>
                <w:sz w:val="22"/>
                <w:szCs w:val="22"/>
              </w:rPr>
            </w:pPr>
            <w:r>
              <w:rPr>
                <w:rFonts w:hint="eastAsia" w:ascii="黑体" w:eastAsia="黑体"/>
                <w:sz w:val="22"/>
                <w:szCs w:val="22"/>
              </w:rPr>
              <w:t>监管方式</w:t>
            </w:r>
          </w:p>
        </w:tc>
      </w:tr>
      <w:tr w14:paraId="484DC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70" w:type="dxa"/>
            <w:vMerge w:val="restart"/>
            <w:vAlign w:val="center"/>
          </w:tcPr>
          <w:p w14:paraId="4F67EAFB">
            <w:pPr>
              <w:spacing w:line="320" w:lineRule="exact"/>
              <w:jc w:val="center"/>
              <w:rPr>
                <w:rFonts w:ascii="仿宋_GB2312" w:eastAsia="仿宋_GB2312"/>
                <w:sz w:val="22"/>
                <w:szCs w:val="22"/>
              </w:rPr>
            </w:pPr>
            <w:r>
              <w:rPr>
                <w:rFonts w:ascii="仿宋_GB2312" w:eastAsia="仿宋_GB2312"/>
                <w:sz w:val="22"/>
                <w:szCs w:val="22"/>
              </w:rPr>
              <w:t>1</w:t>
            </w:r>
          </w:p>
        </w:tc>
        <w:tc>
          <w:tcPr>
            <w:tcW w:w="1287" w:type="dxa"/>
            <w:vMerge w:val="restart"/>
            <w:vAlign w:val="center"/>
          </w:tcPr>
          <w:p w14:paraId="0CFB1D45">
            <w:pPr>
              <w:spacing w:line="320" w:lineRule="exact"/>
              <w:jc w:val="center"/>
              <w:rPr>
                <w:rFonts w:ascii="仿宋_GB2312" w:eastAsia="仿宋_GB2312"/>
                <w:sz w:val="22"/>
                <w:szCs w:val="22"/>
              </w:rPr>
            </w:pPr>
            <w:r>
              <w:rPr>
                <w:rFonts w:hint="eastAsia" w:ascii="仿宋_GB2312" w:eastAsia="仿宋_GB2312"/>
                <w:sz w:val="22"/>
                <w:szCs w:val="22"/>
              </w:rPr>
              <w:t>监督检查退役军人保障相关法律法规和政策措施落实情况</w:t>
            </w:r>
          </w:p>
        </w:tc>
        <w:tc>
          <w:tcPr>
            <w:tcW w:w="630" w:type="dxa"/>
            <w:vMerge w:val="restart"/>
            <w:vAlign w:val="center"/>
          </w:tcPr>
          <w:p w14:paraId="2C58E228">
            <w:pPr>
              <w:spacing w:line="320" w:lineRule="exact"/>
              <w:jc w:val="center"/>
              <w:rPr>
                <w:rFonts w:hint="eastAsia" w:ascii="仿宋_GB2312" w:eastAsia="仿宋_GB2312"/>
                <w:sz w:val="22"/>
                <w:szCs w:val="22"/>
                <w:lang w:eastAsia="zh-CN"/>
              </w:rPr>
            </w:pPr>
            <w:r>
              <w:rPr>
                <w:rFonts w:hint="eastAsia" w:ascii="仿宋_GB2312" w:eastAsia="仿宋_GB2312"/>
                <w:sz w:val="22"/>
                <w:szCs w:val="22"/>
                <w:lang w:eastAsia="zh-CN"/>
              </w:rPr>
              <w:t>市、县</w:t>
            </w:r>
          </w:p>
        </w:tc>
        <w:tc>
          <w:tcPr>
            <w:tcW w:w="1010" w:type="dxa"/>
            <w:vMerge w:val="restart"/>
            <w:vAlign w:val="center"/>
          </w:tcPr>
          <w:p w14:paraId="115F1FEB">
            <w:pPr>
              <w:spacing w:line="320" w:lineRule="exact"/>
              <w:jc w:val="center"/>
              <w:rPr>
                <w:rFonts w:ascii="仿宋_GB2312" w:eastAsia="仿宋_GB2312"/>
                <w:sz w:val="22"/>
                <w:szCs w:val="22"/>
              </w:rPr>
            </w:pPr>
            <w:r>
              <w:rPr>
                <w:rFonts w:hint="eastAsia" w:ascii="仿宋_GB2312" w:eastAsia="仿宋_GB2312"/>
                <w:sz w:val="22"/>
                <w:szCs w:val="22"/>
              </w:rPr>
              <w:t>一般检查事项</w:t>
            </w:r>
          </w:p>
        </w:tc>
        <w:tc>
          <w:tcPr>
            <w:tcW w:w="1463" w:type="dxa"/>
            <w:vMerge w:val="restart"/>
            <w:vAlign w:val="center"/>
          </w:tcPr>
          <w:p w14:paraId="484C242C">
            <w:pPr>
              <w:spacing w:line="320" w:lineRule="exact"/>
              <w:jc w:val="left"/>
              <w:rPr>
                <w:rFonts w:ascii="仿宋_GB2312" w:eastAsia="仿宋_GB2312"/>
                <w:sz w:val="22"/>
                <w:szCs w:val="22"/>
              </w:rPr>
            </w:pPr>
            <w:r>
              <w:rPr>
                <w:rFonts w:hint="eastAsia" w:ascii="仿宋_GB2312" w:hAnsi="仿宋_GB2312" w:eastAsia="仿宋_GB2312" w:cs="仿宋_GB2312"/>
                <w:b w:val="0"/>
                <w:bCs/>
                <w:color w:val="000000"/>
                <w:szCs w:val="21"/>
                <w:lang w:eastAsia="zh-CN"/>
              </w:rPr>
              <w:t>对</w:t>
            </w:r>
            <w:r>
              <w:rPr>
                <w:rFonts w:hint="eastAsia" w:ascii="仿宋_GB2312" w:hAnsi="仿宋_GB2312" w:eastAsia="仿宋_GB2312" w:cs="仿宋_GB2312"/>
                <w:b w:val="0"/>
                <w:bCs/>
                <w:color w:val="000000"/>
                <w:szCs w:val="21"/>
              </w:rPr>
              <w:t>监督检查退役军人保障相关法律法规和政策措施落实情况</w:t>
            </w:r>
            <w:r>
              <w:rPr>
                <w:rFonts w:hint="eastAsia" w:ascii="仿宋_GB2312" w:eastAsia="仿宋_GB2312"/>
                <w:sz w:val="22"/>
                <w:szCs w:val="22"/>
              </w:rPr>
              <w:t>的行政检查</w:t>
            </w:r>
          </w:p>
        </w:tc>
        <w:tc>
          <w:tcPr>
            <w:tcW w:w="1160" w:type="dxa"/>
            <w:vAlign w:val="center"/>
          </w:tcPr>
          <w:p w14:paraId="172681F4">
            <w:pPr>
              <w:spacing w:line="320" w:lineRule="exact"/>
              <w:jc w:val="center"/>
              <w:rPr>
                <w:rFonts w:hint="eastAsia" w:ascii="仿宋_GB2312" w:eastAsia="仿宋_GB2312"/>
                <w:sz w:val="22"/>
                <w:szCs w:val="22"/>
              </w:rPr>
            </w:pPr>
            <w:r>
              <w:rPr>
                <w:rFonts w:hint="eastAsia" w:ascii="仿宋_GB2312" w:eastAsia="仿宋_GB2312"/>
                <w:sz w:val="22"/>
                <w:szCs w:val="22"/>
              </w:rPr>
              <w:t>一般检查</w:t>
            </w:r>
          </w:p>
          <w:p w14:paraId="32DD4B90">
            <w:pPr>
              <w:spacing w:line="320" w:lineRule="exact"/>
              <w:jc w:val="center"/>
              <w:rPr>
                <w:rFonts w:ascii="仿宋_GB2312" w:eastAsia="仿宋_GB2312"/>
                <w:sz w:val="22"/>
                <w:szCs w:val="22"/>
              </w:rPr>
            </w:pPr>
            <w:r>
              <w:rPr>
                <w:rFonts w:hint="eastAsia" w:ascii="仿宋_GB2312" w:eastAsia="仿宋_GB2312"/>
                <w:sz w:val="22"/>
                <w:szCs w:val="22"/>
              </w:rPr>
              <w:t>对象</w:t>
            </w:r>
          </w:p>
        </w:tc>
        <w:tc>
          <w:tcPr>
            <w:tcW w:w="1834" w:type="dxa"/>
            <w:vAlign w:val="center"/>
          </w:tcPr>
          <w:p w14:paraId="5CBD2F87">
            <w:pPr>
              <w:spacing w:line="320" w:lineRule="exact"/>
              <w:jc w:val="left"/>
              <w:rPr>
                <w:rFonts w:ascii="仿宋_GB2312" w:eastAsia="仿宋_GB2312"/>
                <w:sz w:val="22"/>
                <w:szCs w:val="22"/>
              </w:rPr>
            </w:pPr>
            <w:r>
              <w:rPr>
                <w:rFonts w:hint="eastAsia" w:ascii="仿宋_GB2312" w:eastAsia="仿宋_GB2312"/>
                <w:sz w:val="22"/>
                <w:szCs w:val="22"/>
              </w:rPr>
              <w:t>未</w:t>
            </w:r>
            <w:r>
              <w:rPr>
                <w:rFonts w:hint="eastAsia" w:ascii="仿宋_GB2312" w:eastAsia="仿宋_GB2312"/>
                <w:sz w:val="22"/>
                <w:szCs w:val="22"/>
                <w:lang w:eastAsia="zh-CN"/>
              </w:rPr>
              <w:t>接到</w:t>
            </w:r>
            <w:r>
              <w:rPr>
                <w:rFonts w:hint="eastAsia" w:ascii="仿宋_GB2312" w:eastAsia="仿宋_GB2312"/>
                <w:sz w:val="22"/>
                <w:szCs w:val="22"/>
              </w:rPr>
              <w:t>投诉</w:t>
            </w:r>
            <w:r>
              <w:rPr>
                <w:rFonts w:hint="eastAsia" w:ascii="仿宋_GB2312" w:eastAsia="仿宋_GB2312"/>
                <w:sz w:val="22"/>
                <w:szCs w:val="22"/>
                <w:lang w:eastAsia="zh-CN"/>
              </w:rPr>
              <w:t>举报</w:t>
            </w:r>
            <w:r>
              <w:rPr>
                <w:rFonts w:hint="eastAsia" w:ascii="仿宋_GB2312" w:eastAsia="仿宋_GB2312"/>
                <w:sz w:val="22"/>
                <w:szCs w:val="22"/>
              </w:rPr>
              <w:t>、前期检查不存在问题的</w:t>
            </w:r>
          </w:p>
        </w:tc>
        <w:tc>
          <w:tcPr>
            <w:tcW w:w="1309" w:type="dxa"/>
            <w:vAlign w:val="center"/>
          </w:tcPr>
          <w:p w14:paraId="5745CBB2">
            <w:pPr>
              <w:spacing w:line="320" w:lineRule="exact"/>
              <w:jc w:val="center"/>
              <w:rPr>
                <w:rFonts w:hint="eastAsia" w:ascii="仿宋_GB2312" w:eastAsia="仿宋_GB2312"/>
                <w:sz w:val="22"/>
                <w:szCs w:val="22"/>
                <w:lang w:eastAsia="zh-CN"/>
              </w:rPr>
            </w:pPr>
            <w:r>
              <w:rPr>
                <w:rFonts w:hint="eastAsia" w:ascii="仿宋_GB2312" w:eastAsia="仿宋_GB2312"/>
                <w:sz w:val="22"/>
                <w:szCs w:val="22"/>
                <w:lang w:eastAsia="zh-CN"/>
              </w:rPr>
              <w:t>抽查、书面检查、实地检查</w:t>
            </w:r>
          </w:p>
        </w:tc>
      </w:tr>
      <w:tr w14:paraId="75FB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6" w:hRule="atLeast"/>
          <w:jc w:val="center"/>
        </w:trPr>
        <w:tc>
          <w:tcPr>
            <w:tcW w:w="470" w:type="dxa"/>
            <w:vMerge w:val="continue"/>
            <w:vAlign w:val="center"/>
          </w:tcPr>
          <w:p w14:paraId="0C6AF21E">
            <w:pPr>
              <w:spacing w:line="320" w:lineRule="exact"/>
              <w:jc w:val="center"/>
              <w:rPr>
                <w:rFonts w:ascii="仿宋_GB2312" w:eastAsia="仿宋_GB2312"/>
                <w:sz w:val="22"/>
                <w:szCs w:val="22"/>
              </w:rPr>
            </w:pPr>
          </w:p>
        </w:tc>
        <w:tc>
          <w:tcPr>
            <w:tcW w:w="1287" w:type="dxa"/>
            <w:vMerge w:val="continue"/>
            <w:vAlign w:val="center"/>
          </w:tcPr>
          <w:p w14:paraId="460BDDF3">
            <w:pPr>
              <w:spacing w:line="320" w:lineRule="exact"/>
              <w:jc w:val="center"/>
              <w:rPr>
                <w:rFonts w:ascii="仿宋_GB2312" w:eastAsia="仿宋_GB2312"/>
                <w:sz w:val="22"/>
                <w:szCs w:val="22"/>
              </w:rPr>
            </w:pPr>
          </w:p>
        </w:tc>
        <w:tc>
          <w:tcPr>
            <w:tcW w:w="630" w:type="dxa"/>
            <w:vMerge w:val="continue"/>
            <w:vAlign w:val="center"/>
          </w:tcPr>
          <w:p w14:paraId="79130CCD">
            <w:pPr>
              <w:spacing w:line="320" w:lineRule="exact"/>
              <w:jc w:val="center"/>
              <w:rPr>
                <w:rFonts w:ascii="仿宋_GB2312" w:eastAsia="仿宋_GB2312"/>
                <w:sz w:val="22"/>
                <w:szCs w:val="22"/>
              </w:rPr>
            </w:pPr>
          </w:p>
        </w:tc>
        <w:tc>
          <w:tcPr>
            <w:tcW w:w="1010" w:type="dxa"/>
            <w:vMerge w:val="continue"/>
            <w:vAlign w:val="center"/>
          </w:tcPr>
          <w:p w14:paraId="1D5B99AD">
            <w:pPr>
              <w:spacing w:line="320" w:lineRule="exact"/>
              <w:jc w:val="center"/>
              <w:rPr>
                <w:rFonts w:ascii="仿宋_GB2312" w:eastAsia="仿宋_GB2312"/>
                <w:sz w:val="22"/>
                <w:szCs w:val="22"/>
              </w:rPr>
            </w:pPr>
          </w:p>
        </w:tc>
        <w:tc>
          <w:tcPr>
            <w:tcW w:w="1463" w:type="dxa"/>
            <w:vMerge w:val="continue"/>
            <w:vAlign w:val="center"/>
          </w:tcPr>
          <w:p w14:paraId="53470883">
            <w:pPr>
              <w:spacing w:line="320" w:lineRule="exact"/>
              <w:jc w:val="center"/>
              <w:rPr>
                <w:rFonts w:ascii="仿宋_GB2312" w:eastAsia="仿宋_GB2312"/>
                <w:sz w:val="22"/>
                <w:szCs w:val="22"/>
              </w:rPr>
            </w:pPr>
          </w:p>
        </w:tc>
        <w:tc>
          <w:tcPr>
            <w:tcW w:w="1160" w:type="dxa"/>
            <w:vAlign w:val="center"/>
          </w:tcPr>
          <w:p w14:paraId="6AD14F7F">
            <w:pPr>
              <w:spacing w:line="320" w:lineRule="exact"/>
              <w:jc w:val="center"/>
              <w:rPr>
                <w:rFonts w:hint="eastAsia" w:ascii="仿宋_GB2312" w:eastAsia="仿宋_GB2312"/>
                <w:sz w:val="22"/>
                <w:szCs w:val="22"/>
              </w:rPr>
            </w:pPr>
            <w:r>
              <w:rPr>
                <w:rFonts w:hint="eastAsia" w:ascii="仿宋_GB2312" w:eastAsia="仿宋_GB2312"/>
                <w:sz w:val="22"/>
                <w:szCs w:val="22"/>
              </w:rPr>
              <w:t>重点检查</w:t>
            </w:r>
          </w:p>
          <w:p w14:paraId="0F617CBE">
            <w:pPr>
              <w:spacing w:line="320" w:lineRule="exact"/>
              <w:jc w:val="center"/>
              <w:rPr>
                <w:rFonts w:ascii="仿宋_GB2312" w:eastAsia="仿宋_GB2312"/>
                <w:sz w:val="22"/>
                <w:szCs w:val="22"/>
              </w:rPr>
            </w:pPr>
            <w:r>
              <w:rPr>
                <w:rFonts w:hint="eastAsia" w:ascii="仿宋_GB2312" w:eastAsia="仿宋_GB2312"/>
                <w:sz w:val="22"/>
                <w:szCs w:val="22"/>
              </w:rPr>
              <w:t>对象</w:t>
            </w:r>
          </w:p>
        </w:tc>
        <w:tc>
          <w:tcPr>
            <w:tcW w:w="1834" w:type="dxa"/>
            <w:vAlign w:val="center"/>
          </w:tcPr>
          <w:p w14:paraId="405D2063">
            <w:pPr>
              <w:spacing w:line="320" w:lineRule="exact"/>
              <w:jc w:val="left"/>
              <w:rPr>
                <w:rFonts w:ascii="仿宋_GB2312" w:eastAsia="仿宋_GB2312"/>
                <w:sz w:val="22"/>
                <w:szCs w:val="22"/>
              </w:rPr>
            </w:pPr>
            <w:r>
              <w:rPr>
                <w:rFonts w:hint="eastAsia" w:ascii="仿宋_GB2312" w:eastAsia="仿宋_GB2312"/>
                <w:sz w:val="22"/>
                <w:szCs w:val="22"/>
              </w:rPr>
              <w:t>被</w:t>
            </w:r>
            <w:r>
              <w:rPr>
                <w:rFonts w:hint="eastAsia" w:ascii="仿宋_GB2312" w:eastAsia="仿宋_GB2312"/>
                <w:sz w:val="22"/>
                <w:szCs w:val="22"/>
                <w:lang w:eastAsia="zh-CN"/>
              </w:rPr>
              <w:t>投诉</w:t>
            </w:r>
            <w:r>
              <w:rPr>
                <w:rFonts w:hint="eastAsia" w:ascii="仿宋_GB2312" w:eastAsia="仿宋_GB2312"/>
                <w:sz w:val="22"/>
                <w:szCs w:val="22"/>
              </w:rPr>
              <w:t>举报、前期检查问题较多的</w:t>
            </w:r>
          </w:p>
        </w:tc>
        <w:tc>
          <w:tcPr>
            <w:tcW w:w="1309" w:type="dxa"/>
            <w:vAlign w:val="center"/>
          </w:tcPr>
          <w:p w14:paraId="44AD228D">
            <w:pPr>
              <w:spacing w:line="320" w:lineRule="exact"/>
              <w:jc w:val="center"/>
              <w:rPr>
                <w:rFonts w:ascii="仿宋_GB2312" w:eastAsia="仿宋_GB2312"/>
                <w:sz w:val="22"/>
                <w:szCs w:val="22"/>
              </w:rPr>
            </w:pPr>
            <w:r>
              <w:rPr>
                <w:rFonts w:hint="eastAsia" w:ascii="仿宋_GB2312" w:eastAsia="仿宋_GB2312"/>
                <w:sz w:val="22"/>
                <w:szCs w:val="22"/>
              </w:rPr>
              <w:t>定向检查</w:t>
            </w:r>
          </w:p>
        </w:tc>
      </w:tr>
      <w:tr w14:paraId="5984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70" w:type="dxa"/>
            <w:vMerge w:val="continue"/>
            <w:vAlign w:val="center"/>
          </w:tcPr>
          <w:p w14:paraId="77B69D5F">
            <w:pPr>
              <w:spacing w:line="320" w:lineRule="exact"/>
              <w:jc w:val="center"/>
              <w:rPr>
                <w:rFonts w:ascii="仿宋_GB2312" w:eastAsia="仿宋_GB2312"/>
                <w:sz w:val="22"/>
                <w:szCs w:val="22"/>
              </w:rPr>
            </w:pPr>
          </w:p>
        </w:tc>
        <w:tc>
          <w:tcPr>
            <w:tcW w:w="1287" w:type="dxa"/>
            <w:vMerge w:val="continue"/>
            <w:vAlign w:val="center"/>
          </w:tcPr>
          <w:p w14:paraId="45366768">
            <w:pPr>
              <w:spacing w:line="320" w:lineRule="exact"/>
              <w:jc w:val="center"/>
              <w:rPr>
                <w:rFonts w:ascii="仿宋_GB2312" w:eastAsia="仿宋_GB2312"/>
                <w:sz w:val="22"/>
                <w:szCs w:val="22"/>
              </w:rPr>
            </w:pPr>
          </w:p>
        </w:tc>
        <w:tc>
          <w:tcPr>
            <w:tcW w:w="630" w:type="dxa"/>
            <w:vMerge w:val="continue"/>
            <w:vAlign w:val="center"/>
          </w:tcPr>
          <w:p w14:paraId="7CA909A6">
            <w:pPr>
              <w:spacing w:line="320" w:lineRule="exact"/>
              <w:jc w:val="center"/>
              <w:rPr>
                <w:rFonts w:hint="eastAsia" w:ascii="仿宋_GB2312" w:eastAsia="仿宋_GB2312"/>
                <w:sz w:val="22"/>
                <w:szCs w:val="22"/>
              </w:rPr>
            </w:pPr>
          </w:p>
        </w:tc>
        <w:tc>
          <w:tcPr>
            <w:tcW w:w="1010" w:type="dxa"/>
            <w:vMerge w:val="restart"/>
            <w:vAlign w:val="center"/>
          </w:tcPr>
          <w:p w14:paraId="56C5B679">
            <w:pPr>
              <w:spacing w:line="320" w:lineRule="exact"/>
              <w:jc w:val="center"/>
              <w:rPr>
                <w:rFonts w:ascii="仿宋_GB2312" w:eastAsia="仿宋_GB2312"/>
                <w:sz w:val="22"/>
                <w:szCs w:val="22"/>
              </w:rPr>
            </w:pPr>
            <w:r>
              <w:rPr>
                <w:rFonts w:hint="eastAsia" w:ascii="仿宋_GB2312" w:eastAsia="仿宋_GB2312"/>
                <w:sz w:val="22"/>
                <w:szCs w:val="22"/>
              </w:rPr>
              <w:t>重点检查事项</w:t>
            </w:r>
          </w:p>
        </w:tc>
        <w:tc>
          <w:tcPr>
            <w:tcW w:w="1463" w:type="dxa"/>
            <w:vMerge w:val="restart"/>
            <w:vAlign w:val="center"/>
          </w:tcPr>
          <w:p w14:paraId="38C7265C">
            <w:pPr>
              <w:spacing w:line="320" w:lineRule="exact"/>
              <w:jc w:val="center"/>
              <w:rPr>
                <w:rFonts w:ascii="仿宋_GB2312" w:eastAsia="仿宋_GB2312"/>
                <w:sz w:val="22"/>
                <w:szCs w:val="22"/>
              </w:rPr>
            </w:pPr>
            <w:r>
              <w:rPr>
                <w:rFonts w:hint="eastAsia" w:ascii="仿宋_GB2312" w:eastAsia="仿宋_GB2312"/>
                <w:sz w:val="22"/>
                <w:szCs w:val="22"/>
              </w:rPr>
              <w:t>无</w:t>
            </w:r>
          </w:p>
        </w:tc>
        <w:tc>
          <w:tcPr>
            <w:tcW w:w="1160" w:type="dxa"/>
            <w:vAlign w:val="center"/>
          </w:tcPr>
          <w:p w14:paraId="568E684B">
            <w:pPr>
              <w:spacing w:line="320" w:lineRule="exact"/>
              <w:jc w:val="center"/>
              <w:rPr>
                <w:rFonts w:hint="eastAsia" w:ascii="仿宋_GB2312" w:eastAsia="仿宋_GB2312"/>
                <w:sz w:val="22"/>
                <w:szCs w:val="22"/>
              </w:rPr>
            </w:pPr>
            <w:r>
              <w:rPr>
                <w:rFonts w:hint="eastAsia" w:ascii="仿宋_GB2312" w:eastAsia="仿宋_GB2312"/>
                <w:sz w:val="22"/>
                <w:szCs w:val="22"/>
              </w:rPr>
              <w:t>一般检查</w:t>
            </w:r>
          </w:p>
          <w:p w14:paraId="72373B4F">
            <w:pPr>
              <w:spacing w:line="320" w:lineRule="exact"/>
              <w:jc w:val="center"/>
              <w:rPr>
                <w:rFonts w:ascii="仿宋_GB2312" w:eastAsia="仿宋_GB2312"/>
                <w:sz w:val="22"/>
                <w:szCs w:val="22"/>
              </w:rPr>
            </w:pPr>
            <w:r>
              <w:rPr>
                <w:rFonts w:hint="eastAsia" w:ascii="仿宋_GB2312" w:eastAsia="仿宋_GB2312"/>
                <w:sz w:val="22"/>
                <w:szCs w:val="22"/>
              </w:rPr>
              <w:t>对象</w:t>
            </w:r>
          </w:p>
        </w:tc>
        <w:tc>
          <w:tcPr>
            <w:tcW w:w="1834" w:type="dxa"/>
            <w:vAlign w:val="center"/>
          </w:tcPr>
          <w:p w14:paraId="6ED6B9F1">
            <w:pPr>
              <w:spacing w:line="320" w:lineRule="exact"/>
              <w:jc w:val="center"/>
              <w:rPr>
                <w:rFonts w:ascii="仿宋_GB2312" w:eastAsia="仿宋_GB2312"/>
                <w:sz w:val="22"/>
                <w:szCs w:val="22"/>
              </w:rPr>
            </w:pPr>
            <w:r>
              <w:rPr>
                <w:rFonts w:hint="eastAsia" w:ascii="仿宋_GB2312" w:eastAsia="仿宋_GB2312"/>
                <w:sz w:val="22"/>
                <w:szCs w:val="22"/>
              </w:rPr>
              <w:t>无</w:t>
            </w:r>
          </w:p>
        </w:tc>
        <w:tc>
          <w:tcPr>
            <w:tcW w:w="1309" w:type="dxa"/>
            <w:vAlign w:val="center"/>
          </w:tcPr>
          <w:p w14:paraId="13A6DF2C">
            <w:pPr>
              <w:spacing w:line="320" w:lineRule="exact"/>
              <w:jc w:val="center"/>
              <w:rPr>
                <w:rFonts w:ascii="仿宋_GB2312" w:eastAsia="仿宋_GB2312"/>
                <w:sz w:val="22"/>
                <w:szCs w:val="22"/>
              </w:rPr>
            </w:pPr>
            <w:r>
              <w:rPr>
                <w:rFonts w:hint="eastAsia" w:ascii="仿宋_GB2312" w:eastAsia="仿宋_GB2312"/>
                <w:sz w:val="22"/>
                <w:szCs w:val="22"/>
              </w:rPr>
              <w:t>无</w:t>
            </w:r>
          </w:p>
        </w:tc>
      </w:tr>
      <w:tr w14:paraId="4A4D1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470" w:type="dxa"/>
            <w:vMerge w:val="continue"/>
            <w:vAlign w:val="center"/>
          </w:tcPr>
          <w:p w14:paraId="14DCD29C">
            <w:pPr>
              <w:spacing w:line="320" w:lineRule="exact"/>
              <w:jc w:val="center"/>
              <w:rPr>
                <w:rFonts w:ascii="仿宋_GB2312" w:eastAsia="仿宋_GB2312"/>
                <w:sz w:val="22"/>
                <w:szCs w:val="22"/>
              </w:rPr>
            </w:pPr>
          </w:p>
        </w:tc>
        <w:tc>
          <w:tcPr>
            <w:tcW w:w="1287" w:type="dxa"/>
            <w:vMerge w:val="continue"/>
            <w:vAlign w:val="center"/>
          </w:tcPr>
          <w:p w14:paraId="5D177776">
            <w:pPr>
              <w:spacing w:line="320" w:lineRule="exact"/>
              <w:jc w:val="center"/>
              <w:rPr>
                <w:rFonts w:ascii="仿宋_GB2312" w:eastAsia="仿宋_GB2312"/>
                <w:sz w:val="22"/>
                <w:szCs w:val="22"/>
              </w:rPr>
            </w:pPr>
          </w:p>
        </w:tc>
        <w:tc>
          <w:tcPr>
            <w:tcW w:w="630" w:type="dxa"/>
            <w:vMerge w:val="continue"/>
            <w:vAlign w:val="center"/>
          </w:tcPr>
          <w:p w14:paraId="5977BDBF">
            <w:pPr>
              <w:spacing w:line="320" w:lineRule="exact"/>
              <w:jc w:val="center"/>
              <w:rPr>
                <w:rFonts w:ascii="仿宋_GB2312" w:eastAsia="仿宋_GB2312"/>
                <w:sz w:val="22"/>
                <w:szCs w:val="22"/>
              </w:rPr>
            </w:pPr>
          </w:p>
        </w:tc>
        <w:tc>
          <w:tcPr>
            <w:tcW w:w="1010" w:type="dxa"/>
            <w:vMerge w:val="continue"/>
            <w:vAlign w:val="center"/>
          </w:tcPr>
          <w:p w14:paraId="3B2B86F1">
            <w:pPr>
              <w:spacing w:line="320" w:lineRule="exact"/>
              <w:jc w:val="center"/>
              <w:rPr>
                <w:rFonts w:ascii="仿宋_GB2312" w:eastAsia="仿宋_GB2312"/>
                <w:sz w:val="22"/>
                <w:szCs w:val="22"/>
              </w:rPr>
            </w:pPr>
          </w:p>
        </w:tc>
        <w:tc>
          <w:tcPr>
            <w:tcW w:w="1463" w:type="dxa"/>
            <w:vMerge w:val="continue"/>
            <w:vAlign w:val="center"/>
          </w:tcPr>
          <w:p w14:paraId="188EA380">
            <w:pPr>
              <w:spacing w:line="320" w:lineRule="exact"/>
              <w:jc w:val="center"/>
              <w:rPr>
                <w:rFonts w:ascii="仿宋_GB2312" w:eastAsia="仿宋_GB2312"/>
                <w:sz w:val="22"/>
                <w:szCs w:val="22"/>
              </w:rPr>
            </w:pPr>
          </w:p>
        </w:tc>
        <w:tc>
          <w:tcPr>
            <w:tcW w:w="1160" w:type="dxa"/>
            <w:vAlign w:val="center"/>
          </w:tcPr>
          <w:p w14:paraId="63E4DCFB">
            <w:pPr>
              <w:spacing w:line="320" w:lineRule="exact"/>
              <w:jc w:val="center"/>
              <w:rPr>
                <w:rFonts w:hint="eastAsia" w:ascii="仿宋_GB2312" w:eastAsia="仿宋_GB2312"/>
                <w:sz w:val="22"/>
                <w:szCs w:val="22"/>
              </w:rPr>
            </w:pPr>
            <w:r>
              <w:rPr>
                <w:rFonts w:hint="eastAsia" w:ascii="仿宋_GB2312" w:eastAsia="仿宋_GB2312"/>
                <w:sz w:val="22"/>
                <w:szCs w:val="22"/>
              </w:rPr>
              <w:t>重点检查</w:t>
            </w:r>
          </w:p>
          <w:p w14:paraId="25F11B90">
            <w:pPr>
              <w:spacing w:line="320" w:lineRule="exact"/>
              <w:jc w:val="center"/>
              <w:rPr>
                <w:rFonts w:ascii="仿宋_GB2312" w:eastAsia="仿宋_GB2312"/>
                <w:sz w:val="22"/>
                <w:szCs w:val="22"/>
              </w:rPr>
            </w:pPr>
            <w:r>
              <w:rPr>
                <w:rFonts w:hint="eastAsia" w:ascii="仿宋_GB2312" w:eastAsia="仿宋_GB2312"/>
                <w:sz w:val="22"/>
                <w:szCs w:val="22"/>
              </w:rPr>
              <w:t>对象</w:t>
            </w:r>
          </w:p>
        </w:tc>
        <w:tc>
          <w:tcPr>
            <w:tcW w:w="1834" w:type="dxa"/>
            <w:vAlign w:val="center"/>
          </w:tcPr>
          <w:p w14:paraId="447A5C91">
            <w:pPr>
              <w:spacing w:line="320" w:lineRule="exact"/>
              <w:jc w:val="center"/>
              <w:rPr>
                <w:rFonts w:ascii="仿宋_GB2312" w:eastAsia="仿宋_GB2312"/>
                <w:sz w:val="22"/>
                <w:szCs w:val="22"/>
              </w:rPr>
            </w:pPr>
            <w:r>
              <w:rPr>
                <w:rFonts w:hint="eastAsia" w:ascii="仿宋_GB2312" w:eastAsia="仿宋_GB2312"/>
                <w:sz w:val="22"/>
                <w:szCs w:val="22"/>
              </w:rPr>
              <w:t>无</w:t>
            </w:r>
          </w:p>
        </w:tc>
        <w:tc>
          <w:tcPr>
            <w:tcW w:w="1309" w:type="dxa"/>
            <w:vAlign w:val="center"/>
          </w:tcPr>
          <w:p w14:paraId="10F4889F">
            <w:pPr>
              <w:spacing w:line="320" w:lineRule="exact"/>
              <w:jc w:val="center"/>
              <w:rPr>
                <w:rFonts w:ascii="仿宋_GB2312" w:eastAsia="仿宋_GB2312"/>
                <w:sz w:val="22"/>
                <w:szCs w:val="22"/>
              </w:rPr>
            </w:pPr>
            <w:r>
              <w:rPr>
                <w:rFonts w:hint="eastAsia" w:ascii="仿宋_GB2312" w:eastAsia="仿宋_GB2312"/>
                <w:sz w:val="22"/>
                <w:szCs w:val="22"/>
              </w:rPr>
              <w:t>无</w:t>
            </w:r>
          </w:p>
        </w:tc>
      </w:tr>
    </w:tbl>
    <w:p w14:paraId="33FB9DD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（二）广元市退役军人事务系统不予和免予处罚清单</w:t>
      </w:r>
    </w:p>
    <w:tbl>
      <w:tblPr>
        <w:tblStyle w:val="6"/>
        <w:tblW w:w="5489" w:type="pct"/>
        <w:jc w:val="center"/>
        <w:tblLayout w:type="autofit"/>
        <w:tblCellMar>
          <w:top w:w="0" w:type="dxa"/>
          <w:left w:w="28" w:type="dxa"/>
          <w:bottom w:w="0" w:type="dxa"/>
          <w:right w:w="28" w:type="dxa"/>
        </w:tblCellMar>
      </w:tblPr>
      <w:tblGrid>
        <w:gridCol w:w="680"/>
        <w:gridCol w:w="1550"/>
        <w:gridCol w:w="800"/>
        <w:gridCol w:w="3382"/>
        <w:gridCol w:w="3360"/>
      </w:tblGrid>
      <w:tr w14:paraId="65C71A96">
        <w:tblPrEx>
          <w:tblCellMar>
            <w:top w:w="0" w:type="dxa"/>
            <w:left w:w="28" w:type="dxa"/>
            <w:bottom w:w="0" w:type="dxa"/>
            <w:right w:w="28" w:type="dxa"/>
          </w:tblCellMar>
        </w:tblPrEx>
        <w:trPr>
          <w:cantSplit/>
          <w:tblHeader/>
          <w:jc w:val="center"/>
        </w:trPr>
        <w:tc>
          <w:tcPr>
            <w:tcW w:w="348" w:type="pct"/>
            <w:tcBorders>
              <w:top w:val="single" w:color="auto" w:sz="4" w:space="0"/>
              <w:left w:val="single" w:color="auto" w:sz="4" w:space="0"/>
              <w:bottom w:val="single" w:color="auto" w:sz="4" w:space="0"/>
              <w:right w:val="single" w:color="auto" w:sz="4" w:space="0"/>
            </w:tcBorders>
            <w:vAlign w:val="center"/>
          </w:tcPr>
          <w:p w14:paraId="6CE92F02">
            <w:pPr>
              <w:spacing w:line="300" w:lineRule="exact"/>
              <w:jc w:val="center"/>
              <w:rPr>
                <w:rFonts w:ascii="黑体" w:eastAsia="黑体"/>
                <w:sz w:val="22"/>
                <w:szCs w:val="22"/>
              </w:rPr>
            </w:pPr>
            <w:r>
              <w:rPr>
                <w:rFonts w:hint="eastAsia" w:ascii="黑体" w:eastAsia="黑体"/>
                <w:sz w:val="22"/>
                <w:szCs w:val="22"/>
              </w:rPr>
              <w:t>序号</w:t>
            </w:r>
          </w:p>
        </w:tc>
        <w:tc>
          <w:tcPr>
            <w:tcW w:w="793" w:type="pct"/>
            <w:tcBorders>
              <w:top w:val="single" w:color="auto" w:sz="4" w:space="0"/>
              <w:left w:val="nil"/>
              <w:bottom w:val="single" w:color="auto" w:sz="4" w:space="0"/>
              <w:right w:val="single" w:color="auto" w:sz="4" w:space="0"/>
            </w:tcBorders>
            <w:vAlign w:val="center"/>
          </w:tcPr>
          <w:p w14:paraId="3CF34115">
            <w:pPr>
              <w:spacing w:line="300" w:lineRule="exact"/>
              <w:jc w:val="center"/>
              <w:rPr>
                <w:rFonts w:ascii="黑体" w:eastAsia="黑体"/>
                <w:sz w:val="22"/>
                <w:szCs w:val="22"/>
              </w:rPr>
            </w:pPr>
            <w:r>
              <w:rPr>
                <w:rFonts w:hint="eastAsia" w:ascii="黑体" w:eastAsia="黑体"/>
                <w:sz w:val="22"/>
                <w:szCs w:val="22"/>
              </w:rPr>
              <w:t>违法行为</w:t>
            </w:r>
          </w:p>
        </w:tc>
        <w:tc>
          <w:tcPr>
            <w:tcW w:w="409" w:type="pct"/>
            <w:tcBorders>
              <w:top w:val="single" w:color="auto" w:sz="4" w:space="0"/>
              <w:left w:val="nil"/>
              <w:bottom w:val="single" w:color="auto" w:sz="4" w:space="0"/>
              <w:right w:val="single" w:color="auto" w:sz="4" w:space="0"/>
            </w:tcBorders>
            <w:vAlign w:val="center"/>
          </w:tcPr>
          <w:p w14:paraId="71A6ED34">
            <w:pPr>
              <w:spacing w:line="300" w:lineRule="exact"/>
              <w:jc w:val="center"/>
              <w:rPr>
                <w:rFonts w:hint="eastAsia" w:ascii="黑体" w:eastAsia="黑体"/>
                <w:sz w:val="22"/>
                <w:szCs w:val="22"/>
                <w:lang w:eastAsia="zh-CN"/>
              </w:rPr>
            </w:pPr>
            <w:r>
              <w:rPr>
                <w:rFonts w:hint="eastAsia" w:ascii="黑体" w:eastAsia="黑体"/>
                <w:sz w:val="22"/>
                <w:szCs w:val="22"/>
                <w:lang w:eastAsia="zh-CN"/>
              </w:rPr>
              <w:t>行使</w:t>
            </w:r>
          </w:p>
          <w:p w14:paraId="15EEE61A">
            <w:pPr>
              <w:spacing w:line="300" w:lineRule="exact"/>
              <w:jc w:val="center"/>
              <w:rPr>
                <w:rFonts w:hint="eastAsia" w:ascii="黑体" w:eastAsia="黑体"/>
                <w:sz w:val="22"/>
                <w:szCs w:val="22"/>
                <w:lang w:eastAsia="zh-CN"/>
              </w:rPr>
            </w:pPr>
            <w:r>
              <w:rPr>
                <w:rFonts w:hint="eastAsia" w:ascii="黑体" w:eastAsia="黑体"/>
                <w:sz w:val="22"/>
                <w:szCs w:val="22"/>
                <w:lang w:eastAsia="zh-CN"/>
              </w:rPr>
              <w:t>层级</w:t>
            </w:r>
          </w:p>
        </w:tc>
        <w:tc>
          <w:tcPr>
            <w:tcW w:w="1730" w:type="pct"/>
            <w:tcBorders>
              <w:top w:val="single" w:color="auto" w:sz="4" w:space="0"/>
              <w:left w:val="nil"/>
              <w:bottom w:val="single" w:color="auto" w:sz="4" w:space="0"/>
              <w:right w:val="single" w:color="auto" w:sz="4" w:space="0"/>
            </w:tcBorders>
            <w:vAlign w:val="center"/>
          </w:tcPr>
          <w:p w14:paraId="3742E352">
            <w:pPr>
              <w:spacing w:line="300" w:lineRule="exact"/>
              <w:jc w:val="center"/>
              <w:rPr>
                <w:rFonts w:ascii="黑体" w:eastAsia="黑体"/>
                <w:sz w:val="22"/>
                <w:szCs w:val="22"/>
              </w:rPr>
            </w:pPr>
            <w:r>
              <w:rPr>
                <w:rFonts w:hint="eastAsia" w:ascii="黑体" w:eastAsia="黑体"/>
                <w:sz w:val="22"/>
                <w:szCs w:val="22"/>
              </w:rPr>
              <w:t>处　罚　规　定</w:t>
            </w:r>
          </w:p>
        </w:tc>
        <w:tc>
          <w:tcPr>
            <w:tcW w:w="1718" w:type="pct"/>
            <w:tcBorders>
              <w:top w:val="single" w:color="auto" w:sz="4" w:space="0"/>
              <w:left w:val="nil"/>
              <w:bottom w:val="single" w:color="auto" w:sz="4" w:space="0"/>
              <w:right w:val="single" w:color="auto" w:sz="4" w:space="0"/>
            </w:tcBorders>
            <w:vAlign w:val="center"/>
          </w:tcPr>
          <w:p w14:paraId="42FFB258">
            <w:pPr>
              <w:spacing w:line="300" w:lineRule="exact"/>
              <w:jc w:val="center"/>
              <w:rPr>
                <w:rFonts w:ascii="黑体" w:eastAsia="黑体"/>
                <w:sz w:val="22"/>
                <w:szCs w:val="22"/>
              </w:rPr>
            </w:pPr>
            <w:r>
              <w:rPr>
                <w:rFonts w:hint="eastAsia" w:ascii="黑体" w:eastAsia="黑体"/>
                <w:sz w:val="22"/>
                <w:szCs w:val="22"/>
              </w:rPr>
              <w:t>适用条件及依据</w:t>
            </w:r>
          </w:p>
        </w:tc>
      </w:tr>
      <w:tr w14:paraId="1F063E99">
        <w:tblPrEx>
          <w:tblCellMar>
            <w:top w:w="0" w:type="dxa"/>
            <w:left w:w="28" w:type="dxa"/>
            <w:bottom w:w="0" w:type="dxa"/>
            <w:right w:w="28" w:type="dxa"/>
          </w:tblCellMar>
        </w:tblPrEx>
        <w:trPr>
          <w:cantSplit/>
          <w:trHeight w:val="4223" w:hRule="atLeast"/>
          <w:tblHeader/>
          <w:jc w:val="center"/>
        </w:trPr>
        <w:tc>
          <w:tcPr>
            <w:tcW w:w="348" w:type="pct"/>
            <w:tcBorders>
              <w:top w:val="single" w:color="auto" w:sz="4" w:space="0"/>
              <w:left w:val="single" w:color="auto" w:sz="4" w:space="0"/>
              <w:bottom w:val="single" w:color="auto" w:sz="4" w:space="0"/>
              <w:right w:val="single" w:color="auto" w:sz="4" w:space="0"/>
            </w:tcBorders>
            <w:vAlign w:val="center"/>
          </w:tcPr>
          <w:p w14:paraId="724CDF43">
            <w:pPr>
              <w:spacing w:line="3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w:t>
            </w:r>
          </w:p>
        </w:tc>
        <w:tc>
          <w:tcPr>
            <w:tcW w:w="793" w:type="pct"/>
            <w:tcBorders>
              <w:top w:val="single" w:color="auto" w:sz="4" w:space="0"/>
              <w:left w:val="nil"/>
              <w:bottom w:val="single" w:color="auto" w:sz="4" w:space="0"/>
              <w:right w:val="single" w:color="auto" w:sz="4" w:space="0"/>
            </w:tcBorders>
            <w:vAlign w:val="center"/>
          </w:tcPr>
          <w:p w14:paraId="332E9857">
            <w:pPr>
              <w:spacing w:line="300" w:lineRule="exact"/>
              <w:jc w:val="left"/>
              <w:rPr>
                <w:rFonts w:hint="eastAsia" w:ascii="仿宋_GB2312" w:hAnsi="仿宋_GB2312" w:eastAsia="仿宋_GB2312" w:cs="仿宋_GB2312"/>
                <w:sz w:val="21"/>
                <w:szCs w:val="21"/>
              </w:rPr>
            </w:pPr>
            <w:r>
              <w:rPr>
                <w:rFonts w:hint="eastAsia" w:ascii="仿宋_GB2312" w:hAnsi="仿宋_GB2312" w:eastAsia="仿宋_GB2312" w:cs="仿宋_GB2312"/>
                <w:i w:val="0"/>
                <w:iCs w:val="0"/>
                <w:color w:val="000000"/>
                <w:kern w:val="0"/>
                <w:sz w:val="21"/>
                <w:szCs w:val="21"/>
                <w:u w:val="none"/>
                <w:lang w:val="en-US" w:eastAsia="zh-CN" w:bidi="ar"/>
              </w:rPr>
              <w:t>对负有军人优待义务的单位经责令限期履行优待义务逾期仍不履行的</w:t>
            </w:r>
            <w:r>
              <w:rPr>
                <w:rFonts w:hint="eastAsia" w:ascii="仿宋_GB2312" w:hAnsi="仿宋_GB2312" w:eastAsia="仿宋_GB2312" w:cs="仿宋_GB2312"/>
                <w:i w:val="0"/>
                <w:iCs w:val="0"/>
                <w:color w:val="000000"/>
                <w:kern w:val="0"/>
                <w:sz w:val="21"/>
                <w:szCs w:val="21"/>
                <w:u w:val="none"/>
                <w:lang w:eastAsia="zh-CN" w:bidi="ar"/>
              </w:rPr>
              <w:t>行政</w:t>
            </w:r>
            <w:r>
              <w:rPr>
                <w:rFonts w:hint="eastAsia" w:ascii="仿宋_GB2312" w:hAnsi="仿宋_GB2312" w:eastAsia="仿宋_GB2312" w:cs="仿宋_GB2312"/>
                <w:i w:val="0"/>
                <w:iCs w:val="0"/>
                <w:color w:val="000000"/>
                <w:kern w:val="0"/>
                <w:sz w:val="21"/>
                <w:szCs w:val="21"/>
                <w:u w:val="none"/>
                <w:lang w:val="en-US" w:eastAsia="zh-CN" w:bidi="ar"/>
              </w:rPr>
              <w:t>处罚</w:t>
            </w:r>
          </w:p>
        </w:tc>
        <w:tc>
          <w:tcPr>
            <w:tcW w:w="409" w:type="pct"/>
            <w:tcBorders>
              <w:top w:val="single" w:color="auto" w:sz="4" w:space="0"/>
              <w:left w:val="nil"/>
              <w:bottom w:val="single" w:color="auto" w:sz="4" w:space="0"/>
              <w:right w:val="single" w:color="auto" w:sz="4" w:space="0"/>
            </w:tcBorders>
            <w:vAlign w:val="center"/>
          </w:tcPr>
          <w:p w14:paraId="74DC8A77">
            <w:pPr>
              <w:spacing w:line="300" w:lineRule="exact"/>
              <w:jc w:val="center"/>
              <w:rPr>
                <w:rFonts w:hint="eastAsia" w:ascii="仿宋_GB2312" w:hAnsi="仿宋_GB2312" w:eastAsia="仿宋_GB2312" w:cs="仿宋_GB2312"/>
                <w:b w:val="0"/>
                <w:i w:val="0"/>
                <w:caps w:val="0"/>
                <w:color w:val="000000"/>
                <w:spacing w:val="0"/>
                <w:sz w:val="21"/>
                <w:szCs w:val="21"/>
                <w:shd w:val="clear" w:color="auto" w:fill="FFFFFF"/>
                <w:lang w:eastAsia="zh-CN"/>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730" w:type="pct"/>
            <w:tcBorders>
              <w:top w:val="single" w:color="auto" w:sz="4" w:space="0"/>
              <w:left w:val="nil"/>
              <w:bottom w:val="single" w:color="auto" w:sz="4" w:space="0"/>
              <w:right w:val="single" w:color="auto" w:sz="4" w:space="0"/>
            </w:tcBorders>
            <w:vAlign w:val="top"/>
          </w:tcPr>
          <w:p w14:paraId="1C9AD39B">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军人抚恤优待条例》第四十八条：“负有军人优待义务的单位不履行优待义务的，由县级人民政府退役军人事务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tc>
        <w:tc>
          <w:tcPr>
            <w:tcW w:w="1718" w:type="pct"/>
            <w:tcBorders>
              <w:top w:val="single" w:color="auto" w:sz="4" w:space="0"/>
              <w:left w:val="nil"/>
              <w:bottom w:val="single" w:color="auto" w:sz="4" w:space="0"/>
              <w:right w:val="single" w:color="auto" w:sz="4" w:space="0"/>
            </w:tcBorders>
            <w:vAlign w:val="center"/>
          </w:tcPr>
          <w:p w14:paraId="5E826CC5">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1.</w:t>
            </w:r>
            <w:r>
              <w:rPr>
                <w:rFonts w:hint="eastAsia" w:ascii="仿宋_GB2312" w:hAnsi="仿宋_GB2312" w:eastAsia="仿宋_GB2312" w:cs="仿宋_GB2312"/>
                <w:b w:val="0"/>
                <w:i w:val="0"/>
                <w:caps w:val="0"/>
                <w:color w:val="000000"/>
                <w:spacing w:val="0"/>
                <w:sz w:val="21"/>
                <w:szCs w:val="21"/>
                <w:shd w:val="clear" w:color="auto" w:fill="FFFFFF"/>
              </w:rPr>
              <w:t>《行政处罚法》（2021年1月22日修订通过）第三十三条 违法行为轻微并及时改正，没有造成危害后果的，不予行政处罚。初次违法且危害后果轻微并及时改正的，可以不予行政处罚。当事人有证据足以证明没有主观过错的，不予行政处罚。法律、行政法规另有规定的，从其规定。</w:t>
            </w:r>
          </w:p>
          <w:p w14:paraId="0FFA3192">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2.符合《</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不履行军人优待义务</w:t>
            </w:r>
            <w:r>
              <w:rPr>
                <w:rFonts w:hint="eastAsia" w:ascii="仿宋_GB2312" w:hAnsi="仿宋_GB2312" w:eastAsia="仿宋_GB2312" w:cs="仿宋_GB2312"/>
                <w:b w:val="0"/>
                <w:i w:val="0"/>
                <w:caps w:val="0"/>
                <w:color w:val="000000"/>
                <w:spacing w:val="0"/>
                <w:sz w:val="21"/>
                <w:szCs w:val="21"/>
                <w:shd w:val="clear" w:color="auto" w:fill="FFFFFF"/>
                <w:lang w:eastAsia="zh-CN"/>
              </w:rPr>
              <w:t>”规定的不予处罚或免予处罚情形的。</w:t>
            </w:r>
          </w:p>
          <w:p w14:paraId="7FDC1D03">
            <w:pPr>
              <w:spacing w:line="300" w:lineRule="exact"/>
              <w:jc w:val="center"/>
              <w:rPr>
                <w:rFonts w:hint="eastAsia" w:ascii="仿宋_GB2312" w:hAnsi="仿宋_GB2312" w:eastAsia="仿宋_GB2312" w:cs="仿宋_GB2312"/>
                <w:b w:val="0"/>
                <w:i w:val="0"/>
                <w:caps w:val="0"/>
                <w:color w:val="000000"/>
                <w:spacing w:val="0"/>
                <w:sz w:val="21"/>
                <w:szCs w:val="21"/>
                <w:shd w:val="clear" w:color="auto" w:fill="FFFFFF"/>
              </w:rPr>
            </w:pPr>
          </w:p>
        </w:tc>
      </w:tr>
      <w:tr w14:paraId="2408F912">
        <w:tblPrEx>
          <w:tblCellMar>
            <w:top w:w="0" w:type="dxa"/>
            <w:left w:w="28" w:type="dxa"/>
            <w:bottom w:w="0" w:type="dxa"/>
            <w:right w:w="28" w:type="dxa"/>
          </w:tblCellMar>
        </w:tblPrEx>
        <w:trPr>
          <w:cantSplit/>
          <w:tblHeader/>
          <w:jc w:val="center"/>
        </w:trPr>
        <w:tc>
          <w:tcPr>
            <w:tcW w:w="348" w:type="pct"/>
            <w:tcBorders>
              <w:top w:val="single" w:color="auto" w:sz="4" w:space="0"/>
              <w:left w:val="single" w:color="auto" w:sz="4" w:space="0"/>
              <w:bottom w:val="single" w:color="auto" w:sz="4" w:space="0"/>
              <w:right w:val="single" w:color="auto" w:sz="4" w:space="0"/>
            </w:tcBorders>
            <w:vAlign w:val="center"/>
          </w:tcPr>
          <w:p w14:paraId="403D47A8">
            <w:pPr>
              <w:spacing w:line="3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793" w:type="pct"/>
            <w:tcBorders>
              <w:top w:val="single" w:color="auto" w:sz="4" w:space="0"/>
              <w:left w:val="nil"/>
              <w:bottom w:val="single" w:color="auto" w:sz="4" w:space="0"/>
              <w:right w:val="single" w:color="auto" w:sz="4" w:space="0"/>
            </w:tcBorders>
            <w:vAlign w:val="center"/>
          </w:tcPr>
          <w:p w14:paraId="2F11210D">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lang w:val="en-US" w:eastAsia="zh-CN"/>
              </w:rPr>
            </w:pPr>
            <w:r>
              <w:rPr>
                <w:rFonts w:hint="eastAsia" w:ascii="仿宋_GB2312" w:hAnsi="仿宋_GB2312" w:eastAsia="仿宋_GB2312" w:cs="仿宋_GB2312"/>
                <w:i w:val="0"/>
                <w:iCs w:val="0"/>
                <w:color w:val="000000"/>
                <w:kern w:val="0"/>
                <w:sz w:val="21"/>
                <w:szCs w:val="21"/>
                <w:u w:val="none"/>
                <w:lang w:val="en-US" w:eastAsia="zh-CN" w:bidi="ar"/>
              </w:rPr>
              <w:t>对抚恤优待对象冒领抚恤金、优待金、补助金，虚报病情骗取医药费，出具假证明、伪造证件、印章骗取抚恤金、优待金、补助金等行为的行政处罚</w:t>
            </w:r>
          </w:p>
        </w:tc>
        <w:tc>
          <w:tcPr>
            <w:tcW w:w="409" w:type="pct"/>
            <w:tcBorders>
              <w:top w:val="single" w:color="auto" w:sz="4" w:space="0"/>
              <w:left w:val="nil"/>
              <w:bottom w:val="single" w:color="auto" w:sz="4" w:space="0"/>
              <w:right w:val="single" w:color="auto" w:sz="4" w:space="0"/>
            </w:tcBorders>
            <w:vAlign w:val="center"/>
          </w:tcPr>
          <w:p w14:paraId="2FA32F68">
            <w:pPr>
              <w:spacing w:line="300" w:lineRule="exact"/>
              <w:jc w:val="center"/>
              <w:rPr>
                <w:rFonts w:hint="eastAsia" w:ascii="仿宋_GB2312" w:hAnsi="仿宋_GB2312" w:eastAsia="仿宋_GB2312" w:cs="仿宋_GB2312"/>
                <w:b w:val="0"/>
                <w:i w:val="0"/>
                <w:caps w:val="0"/>
                <w:color w:val="000000"/>
                <w:spacing w:val="0"/>
                <w:sz w:val="21"/>
                <w:szCs w:val="21"/>
                <w:shd w:val="clear" w:color="auto" w:fill="FFFFFF"/>
                <w:lang w:eastAsia="zh-CN"/>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730" w:type="pct"/>
            <w:tcBorders>
              <w:top w:val="single" w:color="auto" w:sz="4" w:space="0"/>
              <w:left w:val="nil"/>
              <w:bottom w:val="single" w:color="auto" w:sz="4" w:space="0"/>
              <w:right w:val="single" w:color="auto" w:sz="4" w:space="0"/>
            </w:tcBorders>
            <w:vAlign w:val="center"/>
          </w:tcPr>
          <w:p w14:paraId="3C92A3F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1）《军人抚恤优待条例》第四十九条：“抚恤优待对象有下列行为之一的，由县级人民政府退役军人事务部门给予警告，限期退回非法所得；情节严重的，停止其享受的抚恤、优待；构成犯罪的，依法追究刑事责任：（一）冒领抚恤金、优待金、补助金的；（二）虚报病情骗取医药费的；（三）出具假证明，伪造证件、印章骗取抚恤金、优待金、补助金的。”</w:t>
            </w:r>
          </w:p>
          <w:p w14:paraId="742A41A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2）《伤残抚恤管理办法》第二十七条：“有下列行为之一的，由县级人民政府退役军人事务部门给予警告，停止其享受的抚恤、优待，追回非法所得；构成犯罪的，依法追究刑事责任：（一）伪造残情的；（二）冒领抚恤金的；（三）骗取医药费等费用的；（四）出具假证明，伪造证件、印章骗取抚恤金和相关待遇的。”</w:t>
            </w:r>
          </w:p>
        </w:tc>
        <w:tc>
          <w:tcPr>
            <w:tcW w:w="1718" w:type="pct"/>
            <w:tcBorders>
              <w:top w:val="single" w:color="auto" w:sz="4" w:space="0"/>
              <w:left w:val="nil"/>
              <w:bottom w:val="single" w:color="auto" w:sz="4" w:space="0"/>
              <w:right w:val="single" w:color="auto" w:sz="4" w:space="0"/>
            </w:tcBorders>
            <w:vAlign w:val="top"/>
          </w:tcPr>
          <w:p w14:paraId="035D06BE">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1.</w:t>
            </w:r>
            <w:r>
              <w:rPr>
                <w:rFonts w:hint="eastAsia" w:ascii="仿宋_GB2312" w:hAnsi="仿宋_GB2312" w:eastAsia="仿宋_GB2312" w:cs="仿宋_GB2312"/>
                <w:b w:val="0"/>
                <w:i w:val="0"/>
                <w:caps w:val="0"/>
                <w:color w:val="000000"/>
                <w:spacing w:val="0"/>
                <w:sz w:val="21"/>
                <w:szCs w:val="21"/>
                <w:shd w:val="clear" w:color="auto" w:fill="FFFFFF"/>
              </w:rPr>
              <w:t>《行政处罚法》（2021年1月22日修订通过）第三十三条 违法行为轻微并及时改正，没有造成危害后果的，不予行政处罚。初次违法且危害后果轻微并及时改正的，可以不予行政处罚。当事人有证据足以证明没有主观过错的，不予行政处罚。法律、行政法规另有规定的，从其规定。</w:t>
            </w:r>
          </w:p>
          <w:p w14:paraId="1E52D851">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2.符合《</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非法获取抚恤优待待遇</w:t>
            </w:r>
            <w:r>
              <w:rPr>
                <w:rFonts w:hint="eastAsia" w:ascii="仿宋_GB2312" w:hAnsi="仿宋_GB2312" w:eastAsia="仿宋_GB2312" w:cs="仿宋_GB2312"/>
                <w:b w:val="0"/>
                <w:i w:val="0"/>
                <w:caps w:val="0"/>
                <w:color w:val="000000"/>
                <w:spacing w:val="0"/>
                <w:sz w:val="21"/>
                <w:szCs w:val="21"/>
                <w:shd w:val="clear" w:color="auto" w:fill="FFFFFF"/>
                <w:lang w:eastAsia="zh-CN"/>
              </w:rPr>
              <w:t>”规定的不予处罚情形的。</w:t>
            </w:r>
          </w:p>
        </w:tc>
      </w:tr>
      <w:tr w14:paraId="600F23C4">
        <w:tblPrEx>
          <w:tblCellMar>
            <w:top w:w="0" w:type="dxa"/>
            <w:left w:w="28" w:type="dxa"/>
            <w:bottom w:w="0" w:type="dxa"/>
            <w:right w:w="28" w:type="dxa"/>
          </w:tblCellMar>
        </w:tblPrEx>
        <w:trPr>
          <w:cantSplit/>
          <w:trHeight w:val="4133" w:hRule="atLeast"/>
          <w:tblHeader/>
          <w:jc w:val="center"/>
        </w:trPr>
        <w:tc>
          <w:tcPr>
            <w:tcW w:w="348" w:type="pct"/>
            <w:tcBorders>
              <w:top w:val="single" w:color="auto" w:sz="4" w:space="0"/>
              <w:left w:val="single" w:color="auto" w:sz="4" w:space="0"/>
              <w:bottom w:val="single" w:color="auto" w:sz="4" w:space="0"/>
              <w:right w:val="single" w:color="auto" w:sz="4" w:space="0"/>
            </w:tcBorders>
            <w:vAlign w:val="center"/>
          </w:tcPr>
          <w:p w14:paraId="0E811E58">
            <w:pPr>
              <w:spacing w:line="3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793" w:type="pct"/>
            <w:tcBorders>
              <w:top w:val="single" w:color="auto" w:sz="4" w:space="0"/>
              <w:left w:val="nil"/>
              <w:bottom w:val="single" w:color="auto" w:sz="4" w:space="0"/>
              <w:right w:val="single" w:color="auto" w:sz="4" w:space="0"/>
            </w:tcBorders>
            <w:vAlign w:val="center"/>
          </w:tcPr>
          <w:p w14:paraId="5503D320">
            <w:pPr>
              <w:spacing w:line="300" w:lineRule="exact"/>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对企业未按规定接收安置退役士兵的</w:t>
            </w:r>
            <w:r>
              <w:rPr>
                <w:rFonts w:hint="eastAsia" w:ascii="仿宋_GB2312" w:hAnsi="仿宋_GB2312" w:eastAsia="仿宋_GB2312" w:cs="仿宋_GB2312"/>
                <w:i w:val="0"/>
                <w:iCs w:val="0"/>
                <w:color w:val="000000"/>
                <w:kern w:val="0"/>
                <w:sz w:val="21"/>
                <w:szCs w:val="21"/>
                <w:u w:val="none"/>
                <w:lang w:eastAsia="zh-CN" w:bidi="ar"/>
              </w:rPr>
              <w:t>行政</w:t>
            </w:r>
            <w:r>
              <w:rPr>
                <w:rFonts w:hint="eastAsia" w:ascii="仿宋_GB2312" w:hAnsi="仿宋_GB2312" w:eastAsia="仿宋_GB2312" w:cs="仿宋_GB2312"/>
                <w:i w:val="0"/>
                <w:iCs w:val="0"/>
                <w:color w:val="000000"/>
                <w:kern w:val="0"/>
                <w:sz w:val="21"/>
                <w:szCs w:val="21"/>
                <w:u w:val="none"/>
                <w:lang w:val="en-US" w:eastAsia="zh-CN" w:bidi="ar"/>
              </w:rPr>
              <w:t>处罚</w:t>
            </w:r>
          </w:p>
        </w:tc>
        <w:tc>
          <w:tcPr>
            <w:tcW w:w="409" w:type="pct"/>
            <w:tcBorders>
              <w:top w:val="single" w:color="auto" w:sz="4" w:space="0"/>
              <w:left w:val="nil"/>
              <w:bottom w:val="single" w:color="auto" w:sz="4" w:space="0"/>
              <w:right w:val="single" w:color="auto" w:sz="4" w:space="0"/>
            </w:tcBorders>
            <w:vAlign w:val="center"/>
          </w:tcPr>
          <w:p w14:paraId="3ACDACE9">
            <w:pPr>
              <w:spacing w:line="300" w:lineRule="exact"/>
              <w:jc w:val="center"/>
              <w:rPr>
                <w:rFonts w:hint="eastAsia" w:ascii="仿宋_GB2312" w:hAnsi="仿宋_GB2312" w:eastAsia="仿宋_GB2312" w:cs="仿宋_GB2312"/>
                <w:b w:val="0"/>
                <w:i w:val="0"/>
                <w:caps w:val="0"/>
                <w:color w:val="000000"/>
                <w:spacing w:val="0"/>
                <w:sz w:val="21"/>
                <w:szCs w:val="21"/>
                <w:shd w:val="clear" w:color="auto" w:fill="FFFFFF"/>
                <w:lang w:eastAsia="zh-CN"/>
              </w:rPr>
            </w:pPr>
            <w:r>
              <w:rPr>
                <w:rFonts w:hint="eastAsia" w:ascii="仿宋_GB2312" w:hAnsi="仿宋_GB2312" w:eastAsia="仿宋_GB2312" w:cs="仿宋_GB2312"/>
                <w:b w:val="0"/>
                <w:i w:val="0"/>
                <w:caps w:val="0"/>
                <w:color w:val="000000"/>
                <w:spacing w:val="0"/>
                <w:sz w:val="21"/>
                <w:szCs w:val="21"/>
                <w:shd w:val="clear" w:color="auto" w:fill="FFFFFF"/>
                <w:lang w:eastAsia="zh-CN"/>
              </w:rPr>
              <w:t>市、县</w:t>
            </w:r>
          </w:p>
        </w:tc>
        <w:tc>
          <w:tcPr>
            <w:tcW w:w="1730" w:type="pct"/>
            <w:tcBorders>
              <w:top w:val="single" w:color="auto" w:sz="4" w:space="0"/>
              <w:left w:val="nil"/>
              <w:bottom w:val="single" w:color="auto" w:sz="4" w:space="0"/>
              <w:right w:val="single" w:color="auto" w:sz="4" w:space="0"/>
            </w:tcBorders>
            <w:vAlign w:val="center"/>
          </w:tcPr>
          <w:p w14:paraId="64516F7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仿宋_GB2312" w:hAnsi="仿宋_GB2312" w:eastAsia="仿宋_GB2312" w:cs="仿宋_GB2312"/>
                <w:sz w:val="21"/>
                <w:szCs w:val="21"/>
              </w:rPr>
            </w:pPr>
            <w:r>
              <w:rPr>
                <w:rFonts w:hint="eastAsia" w:ascii="仿宋_GB2312" w:hAnsi="仿宋_GB2312" w:eastAsia="仿宋_GB2312" w:cs="仿宋_GB2312"/>
                <w:b w:val="0"/>
                <w:i w:val="0"/>
                <w:caps w:val="0"/>
                <w:color w:val="000000"/>
                <w:spacing w:val="0"/>
                <w:sz w:val="21"/>
                <w:szCs w:val="21"/>
                <w:shd w:val="clear" w:color="auto" w:fill="FFFFFF"/>
              </w:rPr>
              <w:t>（1）《退役军人保障法》第七十七条：“违反本法规定，拒绝或者无故拖延执行退役军人安置任务的，由安置地人民政府退役军人工作主管部门责令限期改正；逾期不改正的，予以通报批评。对该单位主要负责人和直接责任人员，由有关部门依法给予处分。”</w:t>
            </w:r>
          </w:p>
          <w:p w14:paraId="029F2358">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2）《退役士兵安置条例》第五十条：“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一）拒绝或者无故拖延执行人民政府下达的安排退役士兵工作任务的；（二）未依法与退役士兵签订劳动合同、聘用合同的；（三）与残疾退役士兵解除劳动关系或者人事关系的。”</w:t>
            </w:r>
          </w:p>
        </w:tc>
        <w:tc>
          <w:tcPr>
            <w:tcW w:w="1718" w:type="pct"/>
            <w:tcBorders>
              <w:top w:val="single" w:color="auto" w:sz="4" w:space="0"/>
              <w:left w:val="nil"/>
              <w:bottom w:val="single" w:color="auto" w:sz="4" w:space="0"/>
              <w:right w:val="single" w:color="auto" w:sz="4" w:space="0"/>
            </w:tcBorders>
            <w:vAlign w:val="center"/>
          </w:tcPr>
          <w:p w14:paraId="1E156CE6">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1.</w:t>
            </w:r>
            <w:r>
              <w:rPr>
                <w:rFonts w:hint="eastAsia" w:ascii="仿宋_GB2312" w:hAnsi="仿宋_GB2312" w:eastAsia="仿宋_GB2312" w:cs="仿宋_GB2312"/>
                <w:b w:val="0"/>
                <w:i w:val="0"/>
                <w:caps w:val="0"/>
                <w:color w:val="000000"/>
                <w:spacing w:val="0"/>
                <w:sz w:val="21"/>
                <w:szCs w:val="21"/>
                <w:shd w:val="clear" w:color="auto" w:fill="FFFFFF"/>
              </w:rPr>
              <w:t>《行政处罚法》（2021年1月22日修订通过）第三十三条 违法行为轻微并及时改正，没有造成危害后果的，不予行政处罚。初次违法且危害后果轻微并及时改正的，可以不予行政处罚。当事人有证据足以证明没有主观过错的，不予行政处罚。法律、行政法规另有规定的，从其规定。</w:t>
            </w:r>
          </w:p>
          <w:p w14:paraId="1C86F802">
            <w:pPr>
              <w:spacing w:line="300" w:lineRule="exact"/>
              <w:jc w:val="left"/>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2.符合《</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color w:val="000000"/>
                <w:sz w:val="21"/>
                <w:szCs w:val="21"/>
              </w:rPr>
              <w:t>违反安置规定</w:t>
            </w:r>
            <w:r>
              <w:rPr>
                <w:rFonts w:hint="eastAsia" w:ascii="仿宋_GB2312" w:hAnsi="仿宋_GB2312" w:eastAsia="仿宋_GB2312" w:cs="仿宋_GB2312"/>
                <w:b w:val="0"/>
                <w:i w:val="0"/>
                <w:caps w:val="0"/>
                <w:color w:val="000000"/>
                <w:spacing w:val="0"/>
                <w:sz w:val="21"/>
                <w:szCs w:val="21"/>
                <w:shd w:val="clear" w:color="auto" w:fill="FFFFFF"/>
                <w:lang w:eastAsia="zh-CN"/>
              </w:rPr>
              <w:t>”规定的免予处罚情形的。</w:t>
            </w:r>
          </w:p>
        </w:tc>
      </w:tr>
      <w:tr w14:paraId="0F5BB34E">
        <w:tblPrEx>
          <w:tblCellMar>
            <w:top w:w="0" w:type="dxa"/>
            <w:left w:w="28" w:type="dxa"/>
            <w:bottom w:w="0" w:type="dxa"/>
            <w:right w:w="28" w:type="dxa"/>
          </w:tblCellMar>
        </w:tblPrEx>
        <w:trPr>
          <w:cantSplit/>
          <w:trHeight w:val="2655" w:hRule="atLeast"/>
          <w:tblHeader/>
          <w:jc w:val="center"/>
        </w:trPr>
        <w:tc>
          <w:tcPr>
            <w:tcW w:w="348" w:type="pct"/>
            <w:tcBorders>
              <w:top w:val="single" w:color="auto" w:sz="4" w:space="0"/>
              <w:left w:val="single" w:color="auto" w:sz="4" w:space="0"/>
              <w:bottom w:val="single" w:color="auto" w:sz="4" w:space="0"/>
              <w:right w:val="single" w:color="auto" w:sz="4" w:space="0"/>
            </w:tcBorders>
            <w:vAlign w:val="center"/>
          </w:tcPr>
          <w:p w14:paraId="4531B624">
            <w:pPr>
              <w:spacing w:line="300" w:lineRule="exact"/>
              <w:jc w:val="center"/>
              <w:rPr>
                <w:rFonts w:hint="eastAsia" w:ascii="仿宋_GB2312" w:hAnsi="仿宋_GB2312" w:eastAsia="仿宋_GB2312" w:cs="仿宋_GB2312"/>
                <w:b w:val="0"/>
                <w:i w:val="0"/>
                <w:caps w:val="0"/>
                <w:color w:val="000000"/>
                <w:spacing w:val="0"/>
                <w:sz w:val="21"/>
                <w:szCs w:val="21"/>
                <w:shd w:val="clear" w:color="auto" w:fill="FFFFFF"/>
                <w:lang w:val="en-US" w:eastAsia="zh-CN"/>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4</w:t>
            </w:r>
          </w:p>
        </w:tc>
        <w:tc>
          <w:tcPr>
            <w:tcW w:w="793" w:type="pct"/>
            <w:tcBorders>
              <w:top w:val="single" w:color="auto" w:sz="4" w:space="0"/>
              <w:left w:val="nil"/>
              <w:bottom w:val="single" w:color="auto" w:sz="4" w:space="0"/>
              <w:right w:val="single" w:color="auto" w:sz="4" w:space="0"/>
            </w:tcBorders>
            <w:vAlign w:val="center"/>
          </w:tcPr>
          <w:p w14:paraId="380D5EAA">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lang w:val="en-US" w:eastAsia="zh-CN"/>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对负有烈士遗属优待义务的单位不履行优待义务的</w:t>
            </w:r>
            <w:r>
              <w:rPr>
                <w:rFonts w:hint="eastAsia" w:ascii="仿宋_GB2312" w:hAnsi="仿宋_GB2312" w:eastAsia="仿宋_GB2312" w:cs="仿宋_GB2312"/>
                <w:b w:val="0"/>
                <w:i w:val="0"/>
                <w:caps w:val="0"/>
                <w:color w:val="000000"/>
                <w:spacing w:val="0"/>
                <w:sz w:val="21"/>
                <w:szCs w:val="21"/>
                <w:shd w:val="clear" w:color="auto" w:fill="FFFFFF"/>
                <w:lang w:eastAsia="zh-CN"/>
              </w:rPr>
              <w:t>行政</w:t>
            </w:r>
            <w:r>
              <w:rPr>
                <w:rFonts w:hint="eastAsia" w:ascii="仿宋_GB2312" w:hAnsi="仿宋_GB2312" w:eastAsia="仿宋_GB2312" w:cs="仿宋_GB2312"/>
                <w:b w:val="0"/>
                <w:i w:val="0"/>
                <w:caps w:val="0"/>
                <w:color w:val="000000"/>
                <w:spacing w:val="0"/>
                <w:sz w:val="21"/>
                <w:szCs w:val="21"/>
                <w:shd w:val="clear" w:color="auto" w:fill="FFFFFF"/>
                <w:lang w:val="en-US" w:eastAsia="zh-CN"/>
              </w:rPr>
              <w:t>处罚</w:t>
            </w:r>
          </w:p>
        </w:tc>
        <w:tc>
          <w:tcPr>
            <w:tcW w:w="409" w:type="pct"/>
            <w:tcBorders>
              <w:top w:val="single" w:color="auto" w:sz="4" w:space="0"/>
              <w:left w:val="nil"/>
              <w:bottom w:val="single" w:color="auto" w:sz="4" w:space="0"/>
              <w:right w:val="single" w:color="auto" w:sz="4" w:space="0"/>
            </w:tcBorders>
            <w:vAlign w:val="center"/>
          </w:tcPr>
          <w:p w14:paraId="64AE077B">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lang w:eastAsia="zh-CN"/>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730" w:type="pct"/>
            <w:tcBorders>
              <w:top w:val="single" w:color="auto" w:sz="4" w:space="0"/>
              <w:left w:val="nil"/>
              <w:bottom w:val="single" w:color="auto" w:sz="4" w:space="0"/>
              <w:right w:val="single" w:color="auto" w:sz="4" w:space="0"/>
            </w:tcBorders>
            <w:vAlign w:val="center"/>
          </w:tcPr>
          <w:p w14:paraId="1B05DFFF">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烈士褒扬条例》第三十八条：“负有烈士遗属优待义务的单位不履行优待义务的，由县级人民政府退役军人事务部门责令限期改正；逾期不改正的，处2000元以上1万元以下的罚款；属于国有或者国有控股企业、财政拨款的事业单位的，对直接负责的主管人员和其他直接责任人员依法给予处分。”</w:t>
            </w:r>
          </w:p>
        </w:tc>
        <w:tc>
          <w:tcPr>
            <w:tcW w:w="1718" w:type="pct"/>
            <w:tcBorders>
              <w:top w:val="single" w:color="auto" w:sz="4" w:space="0"/>
              <w:left w:val="nil"/>
              <w:bottom w:val="single" w:color="auto" w:sz="4" w:space="0"/>
              <w:right w:val="single" w:color="auto" w:sz="4" w:space="0"/>
            </w:tcBorders>
            <w:vAlign w:val="center"/>
          </w:tcPr>
          <w:p w14:paraId="5FCA195F">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1.</w:t>
            </w:r>
            <w:r>
              <w:rPr>
                <w:rFonts w:hint="eastAsia" w:ascii="仿宋_GB2312" w:hAnsi="仿宋_GB2312" w:eastAsia="仿宋_GB2312" w:cs="仿宋_GB2312"/>
                <w:b w:val="0"/>
                <w:i w:val="0"/>
                <w:caps w:val="0"/>
                <w:color w:val="000000"/>
                <w:spacing w:val="0"/>
                <w:sz w:val="21"/>
                <w:szCs w:val="21"/>
                <w:shd w:val="clear" w:color="auto" w:fill="FFFFFF"/>
              </w:rPr>
              <w:t>《行政处罚法》（2021年1月22日修订通过）第三十三条 违法行为轻微并及时改正，没有造成危害后果的，不予行政处罚。初次违法且危害后果轻微并及时改正的，可以不予行政处罚。当事人有证据足以证明没有主观过错的，不予行政处罚。法律、行政法规另有规定的，从其规定。</w:t>
            </w:r>
          </w:p>
          <w:p w14:paraId="2B963C36">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lang w:val="en-US" w:eastAsia="zh-CN"/>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2.符合《</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不履行烈士遗属优待义务</w:t>
            </w:r>
            <w:r>
              <w:rPr>
                <w:rFonts w:hint="eastAsia" w:ascii="仿宋_GB2312" w:hAnsi="仿宋_GB2312" w:eastAsia="仿宋_GB2312" w:cs="仿宋_GB2312"/>
                <w:b w:val="0"/>
                <w:i w:val="0"/>
                <w:caps w:val="0"/>
                <w:color w:val="000000"/>
                <w:spacing w:val="0"/>
                <w:sz w:val="21"/>
                <w:szCs w:val="21"/>
                <w:shd w:val="clear" w:color="auto" w:fill="FFFFFF"/>
                <w:lang w:eastAsia="zh-CN"/>
              </w:rPr>
              <w:t>”规定的不予处罚或者免予处罚情形的。</w:t>
            </w:r>
          </w:p>
        </w:tc>
      </w:tr>
    </w:tbl>
    <w:p w14:paraId="4995AE7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（三）广元市退役军人事务系统减轻和从轻处罚清单</w:t>
      </w:r>
    </w:p>
    <w:tbl>
      <w:tblPr>
        <w:tblStyle w:val="6"/>
        <w:tblW w:w="5464"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28" w:type="dxa"/>
          <w:bottom w:w="0" w:type="dxa"/>
          <w:right w:w="28" w:type="dxa"/>
        </w:tblCellMar>
      </w:tblPr>
      <w:tblGrid>
        <w:gridCol w:w="669"/>
        <w:gridCol w:w="1378"/>
        <w:gridCol w:w="964"/>
        <w:gridCol w:w="3395"/>
        <w:gridCol w:w="3321"/>
      </w:tblGrid>
      <w:tr w14:paraId="18BFC0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blHeader/>
          <w:jc w:val="center"/>
        </w:trPr>
        <w:tc>
          <w:tcPr>
            <w:tcW w:w="344" w:type="pct"/>
            <w:tcBorders>
              <w:bottom w:val="single" w:color="auto" w:sz="4" w:space="0"/>
              <w:right w:val="single" w:color="auto" w:sz="4" w:space="0"/>
            </w:tcBorders>
            <w:vAlign w:val="center"/>
          </w:tcPr>
          <w:p w14:paraId="7069279B">
            <w:pPr>
              <w:spacing w:line="320" w:lineRule="exact"/>
              <w:jc w:val="center"/>
              <w:rPr>
                <w:rFonts w:ascii="黑体" w:eastAsia="黑体"/>
                <w:sz w:val="22"/>
                <w:szCs w:val="22"/>
              </w:rPr>
            </w:pPr>
            <w:r>
              <w:rPr>
                <w:rFonts w:hint="eastAsia" w:ascii="黑体" w:eastAsia="黑体"/>
                <w:sz w:val="22"/>
                <w:szCs w:val="22"/>
              </w:rPr>
              <w:t>序号</w:t>
            </w:r>
          </w:p>
        </w:tc>
        <w:tc>
          <w:tcPr>
            <w:tcW w:w="708" w:type="pct"/>
            <w:tcBorders>
              <w:left w:val="single" w:color="auto" w:sz="4" w:space="0"/>
              <w:bottom w:val="single" w:color="auto" w:sz="4" w:space="0"/>
              <w:right w:val="single" w:color="auto" w:sz="4" w:space="0"/>
            </w:tcBorders>
            <w:vAlign w:val="center"/>
          </w:tcPr>
          <w:p w14:paraId="06DF7742">
            <w:pPr>
              <w:spacing w:line="320" w:lineRule="exact"/>
              <w:jc w:val="center"/>
              <w:rPr>
                <w:rFonts w:ascii="黑体" w:eastAsia="黑体"/>
                <w:sz w:val="22"/>
                <w:szCs w:val="22"/>
              </w:rPr>
            </w:pPr>
            <w:r>
              <w:rPr>
                <w:rFonts w:hint="eastAsia" w:ascii="黑体" w:eastAsia="黑体"/>
                <w:sz w:val="22"/>
                <w:szCs w:val="22"/>
              </w:rPr>
              <w:t>违法行为</w:t>
            </w:r>
          </w:p>
        </w:tc>
        <w:tc>
          <w:tcPr>
            <w:tcW w:w="495" w:type="pct"/>
            <w:tcBorders>
              <w:left w:val="single" w:color="auto" w:sz="4" w:space="0"/>
              <w:bottom w:val="single" w:color="auto" w:sz="4" w:space="0"/>
              <w:right w:val="single" w:color="auto" w:sz="4" w:space="0"/>
            </w:tcBorders>
            <w:vAlign w:val="center"/>
          </w:tcPr>
          <w:p w14:paraId="4FCDE7EA">
            <w:pPr>
              <w:spacing w:line="320" w:lineRule="exact"/>
              <w:jc w:val="center"/>
              <w:rPr>
                <w:rFonts w:hint="eastAsia" w:ascii="黑体" w:eastAsia="黑体"/>
                <w:sz w:val="22"/>
                <w:szCs w:val="22"/>
                <w:lang w:eastAsia="zh-CN"/>
              </w:rPr>
            </w:pPr>
            <w:r>
              <w:rPr>
                <w:rFonts w:hint="eastAsia" w:ascii="黑体" w:eastAsia="黑体"/>
                <w:sz w:val="22"/>
                <w:szCs w:val="22"/>
                <w:lang w:eastAsia="zh-CN"/>
              </w:rPr>
              <w:t>行使</w:t>
            </w:r>
          </w:p>
          <w:p w14:paraId="58E63A53">
            <w:pPr>
              <w:spacing w:line="320" w:lineRule="exact"/>
              <w:jc w:val="center"/>
              <w:rPr>
                <w:rFonts w:hint="eastAsia" w:ascii="黑体" w:eastAsia="黑体"/>
                <w:sz w:val="22"/>
                <w:szCs w:val="22"/>
                <w:lang w:eastAsia="zh-CN"/>
              </w:rPr>
            </w:pPr>
            <w:r>
              <w:rPr>
                <w:rFonts w:hint="eastAsia" w:ascii="黑体" w:eastAsia="黑体"/>
                <w:sz w:val="22"/>
                <w:szCs w:val="22"/>
                <w:lang w:eastAsia="zh-CN"/>
              </w:rPr>
              <w:t>层级</w:t>
            </w:r>
          </w:p>
        </w:tc>
        <w:tc>
          <w:tcPr>
            <w:tcW w:w="1744" w:type="pct"/>
            <w:tcBorders>
              <w:left w:val="single" w:color="auto" w:sz="4" w:space="0"/>
              <w:bottom w:val="single" w:color="auto" w:sz="4" w:space="0"/>
              <w:right w:val="single" w:color="auto" w:sz="4" w:space="0"/>
            </w:tcBorders>
            <w:vAlign w:val="center"/>
          </w:tcPr>
          <w:p w14:paraId="66C415DE">
            <w:pPr>
              <w:spacing w:line="320" w:lineRule="exact"/>
              <w:jc w:val="center"/>
              <w:rPr>
                <w:rFonts w:ascii="黑体" w:eastAsia="黑体"/>
                <w:sz w:val="22"/>
                <w:szCs w:val="22"/>
              </w:rPr>
            </w:pPr>
            <w:r>
              <w:rPr>
                <w:rFonts w:hint="eastAsia" w:ascii="黑体" w:eastAsia="黑体"/>
                <w:sz w:val="22"/>
                <w:szCs w:val="22"/>
              </w:rPr>
              <w:t>处　罚　规　定</w:t>
            </w:r>
          </w:p>
        </w:tc>
        <w:tc>
          <w:tcPr>
            <w:tcW w:w="1706" w:type="pct"/>
            <w:tcBorders>
              <w:left w:val="single" w:color="auto" w:sz="4" w:space="0"/>
              <w:bottom w:val="single" w:color="auto" w:sz="4" w:space="0"/>
            </w:tcBorders>
            <w:vAlign w:val="center"/>
          </w:tcPr>
          <w:p w14:paraId="0937DAB7">
            <w:pPr>
              <w:spacing w:line="320" w:lineRule="exact"/>
              <w:jc w:val="center"/>
              <w:rPr>
                <w:rFonts w:ascii="黑体" w:eastAsia="黑体"/>
                <w:sz w:val="22"/>
                <w:szCs w:val="22"/>
              </w:rPr>
            </w:pPr>
            <w:r>
              <w:rPr>
                <w:rFonts w:hint="eastAsia" w:ascii="黑体" w:eastAsia="黑体"/>
                <w:sz w:val="22"/>
                <w:szCs w:val="22"/>
              </w:rPr>
              <w:t>适用条件及依据</w:t>
            </w:r>
          </w:p>
        </w:tc>
      </w:tr>
      <w:tr w14:paraId="3D1B0B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1165" w:hRule="atLeast"/>
          <w:jc w:val="center"/>
        </w:trPr>
        <w:tc>
          <w:tcPr>
            <w:tcW w:w="344" w:type="pct"/>
            <w:tcBorders>
              <w:top w:val="single" w:color="auto" w:sz="4" w:space="0"/>
              <w:bottom w:val="single" w:color="auto" w:sz="4" w:space="0"/>
              <w:right w:val="single" w:color="auto" w:sz="4" w:space="0"/>
            </w:tcBorders>
            <w:vAlign w:val="center"/>
          </w:tcPr>
          <w:p w14:paraId="7222F6BA">
            <w:pPr>
              <w:spacing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708" w:type="pct"/>
            <w:tcBorders>
              <w:top w:val="single" w:color="auto" w:sz="4" w:space="0"/>
              <w:left w:val="single" w:color="auto" w:sz="4" w:space="0"/>
              <w:bottom w:val="single" w:color="auto" w:sz="4" w:space="0"/>
              <w:right w:val="single" w:color="auto" w:sz="4" w:space="0"/>
            </w:tcBorders>
            <w:vAlign w:val="center"/>
          </w:tcPr>
          <w:p w14:paraId="2F92A2AA">
            <w:pPr>
              <w:spacing w:line="300" w:lineRule="exact"/>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对负有军人优待义务的单位经责令限期履行优待义务逾期仍不履行的</w:t>
            </w:r>
            <w:r>
              <w:rPr>
                <w:rFonts w:hint="eastAsia" w:ascii="仿宋_GB2312" w:hAnsi="仿宋_GB2312" w:eastAsia="仿宋_GB2312" w:cs="仿宋_GB2312"/>
                <w:i w:val="0"/>
                <w:iCs w:val="0"/>
                <w:color w:val="000000"/>
                <w:kern w:val="0"/>
                <w:sz w:val="21"/>
                <w:szCs w:val="21"/>
                <w:u w:val="none"/>
                <w:lang w:eastAsia="zh-CN" w:bidi="ar"/>
              </w:rPr>
              <w:t>行政</w:t>
            </w:r>
            <w:r>
              <w:rPr>
                <w:rFonts w:hint="eastAsia" w:ascii="仿宋_GB2312" w:hAnsi="仿宋_GB2312" w:eastAsia="仿宋_GB2312" w:cs="仿宋_GB2312"/>
                <w:i w:val="0"/>
                <w:iCs w:val="0"/>
                <w:color w:val="000000"/>
                <w:kern w:val="0"/>
                <w:sz w:val="21"/>
                <w:szCs w:val="21"/>
                <w:u w:val="none"/>
                <w:lang w:val="en-US" w:eastAsia="zh-CN" w:bidi="ar"/>
              </w:rPr>
              <w:t>处罚</w:t>
            </w:r>
          </w:p>
        </w:tc>
        <w:tc>
          <w:tcPr>
            <w:tcW w:w="495" w:type="pct"/>
            <w:tcBorders>
              <w:top w:val="single" w:color="auto" w:sz="4" w:space="0"/>
              <w:left w:val="single" w:color="auto" w:sz="4" w:space="0"/>
              <w:bottom w:val="single" w:color="auto" w:sz="4" w:space="0"/>
              <w:right w:val="single" w:color="auto" w:sz="4" w:space="0"/>
            </w:tcBorders>
            <w:vAlign w:val="center"/>
          </w:tcPr>
          <w:p w14:paraId="63DA90DC">
            <w:pPr>
              <w:spacing w:line="300" w:lineRule="exact"/>
              <w:jc w:val="center"/>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744" w:type="pct"/>
            <w:tcBorders>
              <w:top w:val="single" w:color="auto" w:sz="4" w:space="0"/>
              <w:left w:val="single" w:color="auto" w:sz="4" w:space="0"/>
              <w:bottom w:val="single" w:color="auto" w:sz="4" w:space="0"/>
              <w:right w:val="single" w:color="auto" w:sz="4" w:space="0"/>
            </w:tcBorders>
            <w:vAlign w:val="center"/>
          </w:tcPr>
          <w:p w14:paraId="36D8D194">
            <w:pPr>
              <w:spacing w:line="300" w:lineRule="exact"/>
              <w:jc w:val="both"/>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rPr>
              <w:t>《军人抚恤优待条例》第四十八条：“负有军人优待义务的单位不履行优待义务的，由县级人民政府退役军人事务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tc>
        <w:tc>
          <w:tcPr>
            <w:tcW w:w="1706" w:type="pct"/>
            <w:tcBorders>
              <w:top w:val="single" w:color="auto" w:sz="4" w:space="0"/>
              <w:left w:val="single" w:color="auto" w:sz="4" w:space="0"/>
              <w:bottom w:val="single" w:color="auto" w:sz="4" w:space="0"/>
            </w:tcBorders>
            <w:vAlign w:val="center"/>
          </w:tcPr>
          <w:p w14:paraId="4B1D36BA">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b w:val="0"/>
                <w:i w:val="0"/>
                <w:caps w:val="0"/>
                <w:color w:val="000000"/>
                <w:spacing w:val="0"/>
                <w:sz w:val="21"/>
                <w:szCs w:val="21"/>
                <w:shd w:val="clear" w:color="auto" w:fill="FFFFFF"/>
                <w:lang w:val="en-US" w:eastAsia="zh-CN"/>
              </w:rPr>
              <w:t>.</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行政处罚法》（2021年1月22日修订通过）第三十二条 当事人有下列情形之一，应当从轻或者减轻行政处罚：</w:t>
            </w:r>
          </w:p>
          <w:p w14:paraId="6AF26AAA">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（一）主动消除或者减轻违法行为危害后果的；</w:t>
            </w:r>
          </w:p>
          <w:p w14:paraId="2EDA4683">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（二）受他人胁迫或者诱骗实施违法行为的；</w:t>
            </w:r>
          </w:p>
          <w:p w14:paraId="692ACD4A">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（三）主动供述行政机关尚未掌握的违法行为的；</w:t>
            </w:r>
          </w:p>
          <w:p w14:paraId="2489F2D6">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（四）配合行政机关查处违法行为有立功表现的；</w:t>
            </w:r>
          </w:p>
          <w:p w14:paraId="6EED70A3">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（五）法律、法规、规章规定其他应当从轻或者减轻行政处罚的。</w:t>
            </w:r>
          </w:p>
          <w:p w14:paraId="23B38346">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2.符合《</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不履行军人优待义务</w:t>
            </w:r>
            <w:r>
              <w:rPr>
                <w:rFonts w:hint="eastAsia" w:ascii="仿宋_GB2312" w:hAnsi="仿宋_GB2312" w:eastAsia="仿宋_GB2312" w:cs="仿宋_GB2312"/>
                <w:b w:val="0"/>
                <w:i w:val="0"/>
                <w:caps w:val="0"/>
                <w:color w:val="000000"/>
                <w:spacing w:val="0"/>
                <w:sz w:val="21"/>
                <w:szCs w:val="21"/>
                <w:shd w:val="clear" w:color="auto" w:fill="FFFFFF"/>
                <w:lang w:eastAsia="zh-CN"/>
              </w:rPr>
              <w:t>”规定的减轻或从轻处罚情形的。</w:t>
            </w:r>
          </w:p>
          <w:p w14:paraId="1E6AA37D">
            <w:pPr>
              <w:spacing w:line="300" w:lineRule="exact"/>
              <w:jc w:val="left"/>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p>
        </w:tc>
      </w:tr>
      <w:tr w14:paraId="4A13D4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1165" w:hRule="atLeast"/>
          <w:jc w:val="center"/>
        </w:trPr>
        <w:tc>
          <w:tcPr>
            <w:tcW w:w="344" w:type="pct"/>
            <w:tcBorders>
              <w:top w:val="single" w:color="auto" w:sz="4" w:space="0"/>
              <w:right w:val="single" w:color="auto" w:sz="4" w:space="0"/>
            </w:tcBorders>
            <w:vAlign w:val="center"/>
          </w:tcPr>
          <w:p w14:paraId="05CC7459">
            <w:pPr>
              <w:spacing w:line="3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708" w:type="pct"/>
            <w:tcBorders>
              <w:top w:val="single" w:color="auto" w:sz="4" w:space="0"/>
              <w:left w:val="single" w:color="auto" w:sz="4" w:space="0"/>
              <w:right w:val="single" w:color="auto" w:sz="4" w:space="0"/>
            </w:tcBorders>
            <w:vAlign w:val="center"/>
          </w:tcPr>
          <w:p w14:paraId="33074E02">
            <w:pPr>
              <w:spacing w:line="300" w:lineRule="exact"/>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对负有烈士遗属优待义务的单位不履行优待义务的</w:t>
            </w:r>
            <w:r>
              <w:rPr>
                <w:rFonts w:hint="eastAsia" w:ascii="仿宋_GB2312" w:hAnsi="仿宋_GB2312" w:eastAsia="仿宋_GB2312" w:cs="仿宋_GB2312"/>
                <w:i w:val="0"/>
                <w:iCs w:val="0"/>
                <w:color w:val="000000"/>
                <w:kern w:val="0"/>
                <w:sz w:val="21"/>
                <w:szCs w:val="21"/>
                <w:u w:val="none"/>
                <w:lang w:eastAsia="zh-CN" w:bidi="ar"/>
              </w:rPr>
              <w:t>行政</w:t>
            </w:r>
            <w:r>
              <w:rPr>
                <w:rFonts w:hint="eastAsia" w:ascii="仿宋_GB2312" w:hAnsi="仿宋_GB2312" w:eastAsia="仿宋_GB2312" w:cs="仿宋_GB2312"/>
                <w:i w:val="0"/>
                <w:iCs w:val="0"/>
                <w:color w:val="000000"/>
                <w:kern w:val="0"/>
                <w:sz w:val="21"/>
                <w:szCs w:val="21"/>
                <w:u w:val="none"/>
                <w:lang w:val="en-US" w:eastAsia="zh-CN" w:bidi="ar"/>
              </w:rPr>
              <w:t>处罚</w:t>
            </w:r>
          </w:p>
        </w:tc>
        <w:tc>
          <w:tcPr>
            <w:tcW w:w="495" w:type="pct"/>
            <w:tcBorders>
              <w:top w:val="single" w:color="auto" w:sz="4" w:space="0"/>
              <w:left w:val="single" w:color="auto" w:sz="4" w:space="0"/>
              <w:right w:val="single" w:color="auto" w:sz="4" w:space="0"/>
            </w:tcBorders>
            <w:vAlign w:val="center"/>
          </w:tcPr>
          <w:p w14:paraId="7FC364CF">
            <w:pPr>
              <w:spacing w:line="300" w:lineRule="exact"/>
              <w:jc w:val="center"/>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744" w:type="pct"/>
            <w:tcBorders>
              <w:top w:val="single" w:color="auto" w:sz="4" w:space="0"/>
              <w:left w:val="single" w:color="auto" w:sz="4" w:space="0"/>
              <w:right w:val="single" w:color="auto" w:sz="4" w:space="0"/>
            </w:tcBorders>
            <w:vAlign w:val="center"/>
          </w:tcPr>
          <w:p w14:paraId="4965CD33">
            <w:pPr>
              <w:spacing w:line="300" w:lineRule="exact"/>
              <w:jc w:val="left"/>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color w:val="000000"/>
                <w:sz w:val="21"/>
                <w:szCs w:val="21"/>
              </w:rPr>
              <w:t>《烈士褒扬条例》第三十八条：“负有烈士遗属优待义务的单位不履行优待义务的，由县级人民政府退役军人事务部门责令限期改正；逾期不改正的，处2000元以上1万元以下的罚款；属于国有或者国有控股企业、财政拨款的事业单位的，对直接负责的主管人员和其他直接责任人员依法给予处分。”</w:t>
            </w:r>
          </w:p>
        </w:tc>
        <w:tc>
          <w:tcPr>
            <w:tcW w:w="1706" w:type="pct"/>
            <w:tcBorders>
              <w:top w:val="single" w:color="auto" w:sz="4" w:space="0"/>
              <w:left w:val="single" w:color="auto" w:sz="4" w:space="0"/>
            </w:tcBorders>
            <w:vAlign w:val="center"/>
          </w:tcPr>
          <w:p w14:paraId="31635F17">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sz w:val="21"/>
                <w:szCs w:val="21"/>
                <w:lang w:val="en-US" w:eastAsia="zh-CN"/>
              </w:rPr>
              <w:t>1</w:t>
            </w:r>
            <w:r>
              <w:rPr>
                <w:rFonts w:hint="eastAsia" w:ascii="仿宋_GB2312" w:hAnsi="仿宋_GB2312" w:eastAsia="仿宋_GB2312" w:cs="仿宋_GB2312"/>
                <w:b w:val="0"/>
                <w:i w:val="0"/>
                <w:caps w:val="0"/>
                <w:color w:val="000000"/>
                <w:spacing w:val="0"/>
                <w:sz w:val="21"/>
                <w:szCs w:val="21"/>
                <w:shd w:val="clear" w:color="auto" w:fill="FFFFFF"/>
                <w:lang w:val="en-US" w:eastAsia="zh-CN"/>
              </w:rPr>
              <w:t>.</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行政处罚法》（2021年1月22日修订通过）第三十二条 当事人有下列情形之一，应当从轻或者减轻行政处罚：</w:t>
            </w:r>
          </w:p>
          <w:p w14:paraId="3C05A89D">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（一）主动消除或者减轻违法行为危害后果的；</w:t>
            </w:r>
          </w:p>
          <w:p w14:paraId="4C672DB9">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（二）受他人胁迫或者诱骗实施违法行为的；</w:t>
            </w:r>
          </w:p>
          <w:p w14:paraId="6E5B056F">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（三）主动供述行政机关尚未掌握的违法行为的；</w:t>
            </w:r>
          </w:p>
          <w:p w14:paraId="1DBD2FC8">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（四）配合行政机关查处违法行为有立功表现的；</w:t>
            </w:r>
          </w:p>
          <w:p w14:paraId="3814F580">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（五）法律、法规、规章规定其他应当从轻或者减轻行政处罚的。</w:t>
            </w:r>
          </w:p>
          <w:p w14:paraId="3D887147">
            <w:pPr>
              <w:spacing w:line="300" w:lineRule="exact"/>
              <w:jc w:val="left"/>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lang w:val="en-US" w:eastAsia="zh-CN"/>
              </w:rPr>
              <w:t>2.符合《</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color w:val="000000"/>
                <w:sz w:val="21"/>
                <w:szCs w:val="21"/>
              </w:rPr>
              <w:t>不履行烈士遗属优待义务</w:t>
            </w:r>
            <w:r>
              <w:rPr>
                <w:rFonts w:hint="eastAsia" w:ascii="仿宋_GB2312" w:hAnsi="仿宋_GB2312" w:eastAsia="仿宋_GB2312" w:cs="仿宋_GB2312"/>
                <w:b w:val="0"/>
                <w:i w:val="0"/>
                <w:caps w:val="0"/>
                <w:color w:val="000000"/>
                <w:spacing w:val="0"/>
                <w:sz w:val="21"/>
                <w:szCs w:val="21"/>
                <w:shd w:val="clear" w:color="auto" w:fill="FFFFFF"/>
                <w:lang w:eastAsia="zh-CN"/>
              </w:rPr>
              <w:t>”规定的减轻或从轻处罚情形的。</w:t>
            </w:r>
          </w:p>
          <w:p w14:paraId="0F27225E">
            <w:pPr>
              <w:spacing w:line="300" w:lineRule="exact"/>
              <w:jc w:val="left"/>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p>
        </w:tc>
      </w:tr>
    </w:tbl>
    <w:p w14:paraId="6AA05F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（四）广元市退役军人事务系统从重处罚清单</w:t>
      </w:r>
    </w:p>
    <w:tbl>
      <w:tblPr>
        <w:tblStyle w:val="6"/>
        <w:tblW w:w="5471" w:type="pct"/>
        <w:jc w:val="center"/>
        <w:tblLayout w:type="autofit"/>
        <w:tblCellMar>
          <w:top w:w="0" w:type="dxa"/>
          <w:left w:w="28" w:type="dxa"/>
          <w:bottom w:w="0" w:type="dxa"/>
          <w:right w:w="28" w:type="dxa"/>
        </w:tblCellMar>
      </w:tblPr>
      <w:tblGrid>
        <w:gridCol w:w="696"/>
        <w:gridCol w:w="1350"/>
        <w:gridCol w:w="970"/>
        <w:gridCol w:w="3133"/>
        <w:gridCol w:w="3590"/>
      </w:tblGrid>
      <w:tr w14:paraId="33ABB8E1">
        <w:tblPrEx>
          <w:tblCellMar>
            <w:top w:w="0" w:type="dxa"/>
            <w:left w:w="28" w:type="dxa"/>
            <w:bottom w:w="0" w:type="dxa"/>
            <w:right w:w="28" w:type="dxa"/>
          </w:tblCellMar>
        </w:tblPrEx>
        <w:trPr>
          <w:cantSplit/>
          <w:tblHeader/>
          <w:jc w:val="center"/>
        </w:trPr>
        <w:tc>
          <w:tcPr>
            <w:tcW w:w="357" w:type="pct"/>
            <w:tcBorders>
              <w:top w:val="single" w:color="auto" w:sz="4" w:space="0"/>
              <w:left w:val="single" w:color="auto" w:sz="4" w:space="0"/>
              <w:bottom w:val="single" w:color="auto" w:sz="4" w:space="0"/>
              <w:right w:val="single" w:color="auto" w:sz="4" w:space="0"/>
            </w:tcBorders>
            <w:vAlign w:val="center"/>
          </w:tcPr>
          <w:p w14:paraId="184D947A">
            <w:pPr>
              <w:spacing w:line="300" w:lineRule="exact"/>
              <w:jc w:val="center"/>
              <w:rPr>
                <w:rFonts w:hint="default" w:ascii="Times New Roman" w:hAnsi="Times New Roman" w:eastAsia="黑体" w:cs="Times New Roman"/>
                <w:sz w:val="22"/>
                <w:szCs w:val="22"/>
              </w:rPr>
            </w:pPr>
            <w:r>
              <w:rPr>
                <w:rFonts w:hint="default" w:ascii="Times New Roman" w:hAnsi="Times New Roman" w:eastAsia="黑体" w:cs="Times New Roman"/>
                <w:sz w:val="22"/>
                <w:szCs w:val="22"/>
              </w:rPr>
              <w:t>序号</w:t>
            </w:r>
          </w:p>
        </w:tc>
        <w:tc>
          <w:tcPr>
            <w:tcW w:w="693" w:type="pct"/>
            <w:tcBorders>
              <w:top w:val="single" w:color="auto" w:sz="4" w:space="0"/>
              <w:left w:val="nil"/>
              <w:bottom w:val="single" w:color="auto" w:sz="4" w:space="0"/>
              <w:right w:val="single" w:color="auto" w:sz="4" w:space="0"/>
            </w:tcBorders>
            <w:vAlign w:val="center"/>
          </w:tcPr>
          <w:p w14:paraId="0A89DAE2">
            <w:pPr>
              <w:spacing w:line="300" w:lineRule="exact"/>
              <w:jc w:val="center"/>
              <w:rPr>
                <w:rFonts w:hint="default" w:ascii="Times New Roman" w:hAnsi="Times New Roman" w:eastAsia="黑体" w:cs="Times New Roman"/>
                <w:sz w:val="22"/>
                <w:szCs w:val="22"/>
              </w:rPr>
            </w:pPr>
            <w:r>
              <w:rPr>
                <w:rFonts w:hint="default" w:ascii="Times New Roman" w:hAnsi="Times New Roman" w:eastAsia="黑体" w:cs="Times New Roman"/>
                <w:sz w:val="22"/>
                <w:szCs w:val="22"/>
              </w:rPr>
              <w:t>违法行为</w:t>
            </w:r>
          </w:p>
        </w:tc>
        <w:tc>
          <w:tcPr>
            <w:tcW w:w="498" w:type="pct"/>
            <w:tcBorders>
              <w:top w:val="single" w:color="auto" w:sz="4" w:space="0"/>
              <w:left w:val="nil"/>
              <w:bottom w:val="single" w:color="auto" w:sz="4" w:space="0"/>
              <w:right w:val="single" w:color="auto" w:sz="4" w:space="0"/>
            </w:tcBorders>
            <w:vAlign w:val="center"/>
          </w:tcPr>
          <w:p w14:paraId="5D42A758">
            <w:pPr>
              <w:spacing w:line="300" w:lineRule="exact"/>
              <w:jc w:val="center"/>
              <w:rPr>
                <w:rFonts w:hint="default" w:ascii="Times New Roman" w:hAnsi="Times New Roman" w:eastAsia="黑体" w:cs="Times New Roman"/>
                <w:sz w:val="22"/>
                <w:szCs w:val="22"/>
                <w:lang w:eastAsia="zh-CN"/>
              </w:rPr>
            </w:pPr>
            <w:r>
              <w:rPr>
                <w:rFonts w:hint="default" w:ascii="Times New Roman" w:hAnsi="Times New Roman" w:eastAsia="黑体" w:cs="Times New Roman"/>
                <w:sz w:val="22"/>
                <w:szCs w:val="22"/>
                <w:lang w:eastAsia="zh-CN"/>
              </w:rPr>
              <w:t>行使</w:t>
            </w:r>
          </w:p>
          <w:p w14:paraId="1E14BD6A">
            <w:pPr>
              <w:spacing w:line="300" w:lineRule="exact"/>
              <w:jc w:val="center"/>
              <w:rPr>
                <w:rFonts w:hint="default" w:ascii="Times New Roman" w:hAnsi="Times New Roman" w:eastAsia="黑体" w:cs="Times New Roman"/>
                <w:sz w:val="22"/>
                <w:szCs w:val="22"/>
                <w:lang w:eastAsia="zh-CN"/>
              </w:rPr>
            </w:pPr>
            <w:r>
              <w:rPr>
                <w:rFonts w:hint="default" w:ascii="Times New Roman" w:hAnsi="Times New Roman" w:eastAsia="黑体" w:cs="Times New Roman"/>
                <w:sz w:val="22"/>
                <w:szCs w:val="22"/>
                <w:lang w:eastAsia="zh-CN"/>
              </w:rPr>
              <w:t>层级</w:t>
            </w:r>
          </w:p>
        </w:tc>
        <w:tc>
          <w:tcPr>
            <w:tcW w:w="1608" w:type="pct"/>
            <w:tcBorders>
              <w:top w:val="single" w:color="auto" w:sz="4" w:space="0"/>
              <w:left w:val="nil"/>
              <w:bottom w:val="single" w:color="auto" w:sz="4" w:space="0"/>
              <w:right w:val="single" w:color="auto" w:sz="4" w:space="0"/>
            </w:tcBorders>
            <w:vAlign w:val="center"/>
          </w:tcPr>
          <w:p w14:paraId="7DBD8FE6">
            <w:pPr>
              <w:spacing w:line="300" w:lineRule="exact"/>
              <w:jc w:val="center"/>
              <w:rPr>
                <w:rFonts w:hint="default" w:ascii="Times New Roman" w:hAnsi="Times New Roman" w:eastAsia="黑体" w:cs="Times New Roman"/>
                <w:sz w:val="22"/>
                <w:szCs w:val="22"/>
              </w:rPr>
            </w:pPr>
            <w:r>
              <w:rPr>
                <w:rFonts w:hint="default" w:ascii="Times New Roman" w:hAnsi="Times New Roman" w:eastAsia="黑体" w:cs="Times New Roman"/>
                <w:sz w:val="22"/>
                <w:szCs w:val="22"/>
              </w:rPr>
              <w:t>处　罚　规　定</w:t>
            </w:r>
          </w:p>
        </w:tc>
        <w:tc>
          <w:tcPr>
            <w:tcW w:w="1842" w:type="pct"/>
            <w:tcBorders>
              <w:top w:val="single" w:color="auto" w:sz="4" w:space="0"/>
              <w:left w:val="nil"/>
              <w:bottom w:val="single" w:color="auto" w:sz="4" w:space="0"/>
              <w:right w:val="single" w:color="auto" w:sz="4" w:space="0"/>
            </w:tcBorders>
            <w:vAlign w:val="center"/>
          </w:tcPr>
          <w:p w14:paraId="395C5D04">
            <w:pPr>
              <w:spacing w:line="300" w:lineRule="exact"/>
              <w:jc w:val="center"/>
              <w:rPr>
                <w:rFonts w:hint="default" w:ascii="Times New Roman" w:hAnsi="Times New Roman" w:eastAsia="黑体" w:cs="Times New Roman"/>
                <w:sz w:val="22"/>
                <w:szCs w:val="22"/>
              </w:rPr>
            </w:pPr>
            <w:r>
              <w:rPr>
                <w:rFonts w:hint="default" w:ascii="Times New Roman" w:hAnsi="Times New Roman" w:eastAsia="黑体" w:cs="Times New Roman"/>
                <w:sz w:val="22"/>
                <w:szCs w:val="22"/>
              </w:rPr>
              <w:t>适用条件及依据</w:t>
            </w:r>
          </w:p>
        </w:tc>
      </w:tr>
      <w:tr w14:paraId="328E83F6">
        <w:tblPrEx>
          <w:tblCellMar>
            <w:top w:w="0" w:type="dxa"/>
            <w:left w:w="28" w:type="dxa"/>
            <w:bottom w:w="0" w:type="dxa"/>
            <w:right w:w="28" w:type="dxa"/>
          </w:tblCellMar>
        </w:tblPrEx>
        <w:trPr>
          <w:cantSplit/>
          <w:jc w:val="center"/>
        </w:trPr>
        <w:tc>
          <w:tcPr>
            <w:tcW w:w="357" w:type="pct"/>
            <w:tcBorders>
              <w:top w:val="single" w:color="auto" w:sz="4" w:space="0"/>
              <w:left w:val="single" w:color="auto" w:sz="4" w:space="0"/>
              <w:bottom w:val="single" w:color="auto" w:sz="4" w:space="0"/>
              <w:right w:val="single" w:color="auto" w:sz="4" w:space="0"/>
            </w:tcBorders>
            <w:vAlign w:val="center"/>
          </w:tcPr>
          <w:p w14:paraId="4667F4CA">
            <w:pPr>
              <w:spacing w:line="30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693" w:type="pct"/>
            <w:tcBorders>
              <w:top w:val="single" w:color="auto" w:sz="4" w:space="0"/>
              <w:left w:val="single" w:color="auto" w:sz="4" w:space="0"/>
              <w:bottom w:val="single" w:color="auto" w:sz="4" w:space="0"/>
              <w:right w:val="single" w:color="auto" w:sz="4" w:space="0"/>
            </w:tcBorders>
            <w:vAlign w:val="center"/>
          </w:tcPr>
          <w:p w14:paraId="5D0FC736">
            <w:pPr>
              <w:spacing w:line="300" w:lineRule="exact"/>
              <w:jc w:val="left"/>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对负有军人优待义务的单位经责令限期履行优待义务逾期仍不履行的</w:t>
            </w:r>
            <w:r>
              <w:rPr>
                <w:rFonts w:hint="eastAsia" w:ascii="仿宋_GB2312" w:hAnsi="仿宋_GB2312" w:eastAsia="仿宋_GB2312" w:cs="仿宋_GB2312"/>
                <w:i w:val="0"/>
                <w:iCs w:val="0"/>
                <w:color w:val="000000"/>
                <w:kern w:val="0"/>
                <w:sz w:val="21"/>
                <w:szCs w:val="21"/>
                <w:u w:val="none"/>
                <w:lang w:eastAsia="zh-CN" w:bidi="ar"/>
              </w:rPr>
              <w:t>行政</w:t>
            </w:r>
            <w:r>
              <w:rPr>
                <w:rFonts w:hint="eastAsia" w:ascii="仿宋_GB2312" w:hAnsi="仿宋_GB2312" w:eastAsia="仿宋_GB2312" w:cs="仿宋_GB2312"/>
                <w:i w:val="0"/>
                <w:iCs w:val="0"/>
                <w:color w:val="000000"/>
                <w:kern w:val="0"/>
                <w:sz w:val="21"/>
                <w:szCs w:val="21"/>
                <w:u w:val="none"/>
                <w:lang w:val="en-US" w:eastAsia="zh-CN" w:bidi="ar"/>
              </w:rPr>
              <w:t>处罚</w:t>
            </w:r>
          </w:p>
        </w:tc>
        <w:tc>
          <w:tcPr>
            <w:tcW w:w="498" w:type="pct"/>
            <w:tcBorders>
              <w:top w:val="single" w:color="auto" w:sz="4" w:space="0"/>
              <w:left w:val="single" w:color="auto" w:sz="4" w:space="0"/>
              <w:bottom w:val="single" w:color="auto" w:sz="4" w:space="0"/>
              <w:right w:val="single" w:color="auto" w:sz="4" w:space="0"/>
            </w:tcBorders>
            <w:vAlign w:val="center"/>
          </w:tcPr>
          <w:p w14:paraId="73D53257">
            <w:pPr>
              <w:spacing w:line="300" w:lineRule="exact"/>
              <w:jc w:val="center"/>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608" w:type="pct"/>
            <w:tcBorders>
              <w:top w:val="single" w:color="auto" w:sz="4" w:space="0"/>
              <w:left w:val="single" w:color="auto" w:sz="4" w:space="0"/>
              <w:bottom w:val="single" w:color="auto" w:sz="4" w:space="0"/>
              <w:right w:val="single" w:color="auto" w:sz="4" w:space="0"/>
            </w:tcBorders>
            <w:vAlign w:val="top"/>
          </w:tcPr>
          <w:p w14:paraId="08FDC11F">
            <w:pPr>
              <w:spacing w:line="300" w:lineRule="exact"/>
              <w:jc w:val="center"/>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rPr>
              <w:t>《军人抚恤优待条例》第四十八条：“负有军人优待义务的单位不履行优待义务的，由县级人民政府退役军人事务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tc>
        <w:tc>
          <w:tcPr>
            <w:tcW w:w="1842" w:type="pct"/>
            <w:tcBorders>
              <w:top w:val="single" w:color="auto" w:sz="4" w:space="0"/>
              <w:left w:val="single" w:color="auto" w:sz="4" w:space="0"/>
              <w:bottom w:val="single" w:color="auto" w:sz="4" w:space="0"/>
              <w:right w:val="single" w:color="auto" w:sz="4" w:space="0"/>
            </w:tcBorders>
            <w:vAlign w:val="center"/>
          </w:tcPr>
          <w:p w14:paraId="4BC557D8">
            <w:pPr>
              <w:spacing w:line="300" w:lineRule="exact"/>
              <w:rPr>
                <w:rFonts w:hint="eastAsia" w:ascii="仿宋_GB2312" w:hAnsi="仿宋_GB2312" w:eastAsia="仿宋_GB2312" w:cs="仿宋_GB2312"/>
                <w:sz w:val="21"/>
                <w:szCs w:val="21"/>
              </w:rPr>
            </w:pPr>
            <w:r>
              <w:rPr>
                <w:rFonts w:hint="eastAsia" w:ascii="仿宋_GB2312" w:hAnsi="仿宋_GB2312" w:eastAsia="仿宋_GB2312" w:cs="仿宋_GB2312"/>
                <w:b w:val="0"/>
                <w:i w:val="0"/>
                <w:caps w:val="0"/>
                <w:color w:val="000000"/>
                <w:spacing w:val="0"/>
                <w:sz w:val="21"/>
                <w:szCs w:val="21"/>
                <w:shd w:val="clear" w:color="auto" w:fill="FFFFFF"/>
              </w:rPr>
              <w:t>具有</w:t>
            </w:r>
            <w:r>
              <w:rPr>
                <w:rFonts w:hint="eastAsia" w:ascii="仿宋_GB2312" w:hAnsi="仿宋_GB2312" w:eastAsia="仿宋_GB2312" w:cs="仿宋_GB2312"/>
                <w:b w:val="0"/>
                <w:i w:val="0"/>
                <w:caps w:val="0"/>
                <w:color w:val="000000"/>
                <w:spacing w:val="0"/>
                <w:sz w:val="21"/>
                <w:szCs w:val="21"/>
                <w:shd w:val="clear" w:color="auto" w:fill="FFFFFF"/>
                <w:lang w:val="en-US" w:eastAsia="zh-CN"/>
              </w:rPr>
              <w:t>《</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color w:val="000000"/>
                <w:sz w:val="21"/>
                <w:szCs w:val="21"/>
              </w:rPr>
              <w:t>不履行军人优待义务</w:t>
            </w:r>
            <w:r>
              <w:rPr>
                <w:rFonts w:hint="eastAsia" w:ascii="仿宋_GB2312" w:hAnsi="仿宋_GB2312" w:eastAsia="仿宋_GB2312" w:cs="仿宋_GB2312"/>
                <w:b w:val="0"/>
                <w:i w:val="0"/>
                <w:caps w:val="0"/>
                <w:color w:val="000000"/>
                <w:spacing w:val="0"/>
                <w:sz w:val="21"/>
                <w:szCs w:val="21"/>
                <w:shd w:val="clear" w:color="auto" w:fill="FFFFFF"/>
                <w:lang w:eastAsia="zh-CN"/>
              </w:rPr>
              <w:t>”规定的从重情形：“</w:t>
            </w:r>
            <w:r>
              <w:rPr>
                <w:rFonts w:hint="eastAsia" w:ascii="仿宋_GB2312" w:hAnsi="仿宋_GB2312" w:eastAsia="仿宋_GB2312" w:cs="仿宋_GB2312"/>
                <w:b w:val="0"/>
                <w:i w:val="0"/>
                <w:caps w:val="0"/>
                <w:color w:val="000000"/>
                <w:spacing w:val="0"/>
                <w:sz w:val="21"/>
                <w:szCs w:val="21"/>
                <w:shd w:val="clear" w:color="auto" w:fill="FFFFFF"/>
              </w:rPr>
              <w:t>负有军人优待义务的单位不履行优待义务，责令限期履行而逾期仍未履行，社会影响恶劣的；</w:t>
            </w:r>
            <w:r>
              <w:rPr>
                <w:rFonts w:hint="eastAsia" w:ascii="仿宋_GB2312" w:hAnsi="仿宋_GB2312" w:eastAsia="仿宋_GB2312" w:cs="仿宋_GB2312"/>
                <w:b w:val="0"/>
                <w:color w:val="000000"/>
                <w:sz w:val="21"/>
                <w:szCs w:val="21"/>
              </w:rPr>
              <w:t>因违法受到行政处罚后一年内再次实施同种违法行为的；以暴力、威胁以及提供虚假陈述、伪造、隐匿、销毁证据材料等方式抗拒、阻碍执法的；其他法定从重情节的。</w:t>
            </w:r>
            <w:r>
              <w:rPr>
                <w:rFonts w:hint="eastAsia" w:ascii="仿宋_GB2312" w:hAnsi="仿宋_GB2312" w:eastAsia="仿宋_GB2312" w:cs="仿宋_GB2312"/>
                <w:b w:val="0"/>
                <w:i w:val="0"/>
                <w:caps w:val="0"/>
                <w:color w:val="000000"/>
                <w:spacing w:val="0"/>
                <w:sz w:val="21"/>
                <w:szCs w:val="21"/>
                <w:shd w:val="clear" w:color="auto" w:fill="FFFFFF"/>
                <w:lang w:eastAsia="zh-CN"/>
              </w:rPr>
              <w:t>”</w:t>
            </w:r>
          </w:p>
        </w:tc>
      </w:tr>
      <w:tr w14:paraId="716C2B59">
        <w:tblPrEx>
          <w:tblCellMar>
            <w:top w:w="0" w:type="dxa"/>
            <w:left w:w="28" w:type="dxa"/>
            <w:bottom w:w="0" w:type="dxa"/>
            <w:right w:w="28" w:type="dxa"/>
          </w:tblCellMar>
        </w:tblPrEx>
        <w:trPr>
          <w:cantSplit/>
          <w:trHeight w:val="2040" w:hRule="atLeast"/>
          <w:jc w:val="center"/>
        </w:trPr>
        <w:tc>
          <w:tcPr>
            <w:tcW w:w="357" w:type="pct"/>
            <w:tcBorders>
              <w:top w:val="single" w:color="auto" w:sz="4" w:space="0"/>
              <w:left w:val="single" w:color="auto" w:sz="4" w:space="0"/>
              <w:bottom w:val="single" w:color="auto" w:sz="4" w:space="0"/>
              <w:right w:val="single" w:color="auto" w:sz="4" w:space="0"/>
            </w:tcBorders>
            <w:vAlign w:val="center"/>
          </w:tcPr>
          <w:p w14:paraId="4DC990B7">
            <w:pPr>
              <w:spacing w:line="3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w:t>
            </w:r>
          </w:p>
        </w:tc>
        <w:tc>
          <w:tcPr>
            <w:tcW w:w="693" w:type="pct"/>
            <w:tcBorders>
              <w:top w:val="single" w:color="auto" w:sz="4" w:space="0"/>
              <w:left w:val="single" w:color="auto" w:sz="4" w:space="0"/>
              <w:bottom w:val="single" w:color="auto" w:sz="4" w:space="0"/>
              <w:right w:val="single" w:color="auto" w:sz="4" w:space="0"/>
            </w:tcBorders>
            <w:vAlign w:val="center"/>
          </w:tcPr>
          <w:p w14:paraId="311801D3">
            <w:pPr>
              <w:spacing w:line="300" w:lineRule="exact"/>
              <w:jc w:val="left"/>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对抚恤优待对象冒领抚恤金、优待金、补助金，虚报病情骗取医药费，出具假证明、伪造证件、印章骗取抚恤金、优待金、补助金等行为的行政处罚</w:t>
            </w:r>
          </w:p>
        </w:tc>
        <w:tc>
          <w:tcPr>
            <w:tcW w:w="498" w:type="pct"/>
            <w:tcBorders>
              <w:top w:val="single" w:color="auto" w:sz="4" w:space="0"/>
              <w:left w:val="single" w:color="auto" w:sz="4" w:space="0"/>
              <w:bottom w:val="single" w:color="auto" w:sz="4" w:space="0"/>
              <w:right w:val="single" w:color="auto" w:sz="4" w:space="0"/>
            </w:tcBorders>
            <w:vAlign w:val="center"/>
          </w:tcPr>
          <w:p w14:paraId="4A359773">
            <w:pPr>
              <w:spacing w:line="300" w:lineRule="exact"/>
              <w:jc w:val="center"/>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608" w:type="pct"/>
            <w:tcBorders>
              <w:top w:val="single" w:color="auto" w:sz="4" w:space="0"/>
              <w:left w:val="single" w:color="auto" w:sz="4" w:space="0"/>
              <w:bottom w:val="single" w:color="auto" w:sz="4" w:space="0"/>
              <w:right w:val="single" w:color="auto" w:sz="4" w:space="0"/>
            </w:tcBorders>
            <w:vAlign w:val="center"/>
          </w:tcPr>
          <w:p w14:paraId="24FEC1D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b w:val="0"/>
                <w:i w:val="0"/>
                <w:caps w:val="0"/>
                <w:color w:val="000000"/>
                <w:spacing w:val="0"/>
                <w:sz w:val="21"/>
                <w:szCs w:val="21"/>
                <w:shd w:val="clear" w:color="auto" w:fill="FFFFFF"/>
              </w:rPr>
            </w:pPr>
            <w:r>
              <w:rPr>
                <w:rFonts w:hint="eastAsia" w:ascii="仿宋_GB2312" w:hAnsi="仿宋_GB2312" w:eastAsia="仿宋_GB2312" w:cs="仿宋_GB2312"/>
                <w:b w:val="0"/>
                <w:i w:val="0"/>
                <w:caps w:val="0"/>
                <w:color w:val="000000"/>
                <w:spacing w:val="0"/>
                <w:sz w:val="21"/>
                <w:szCs w:val="21"/>
                <w:shd w:val="clear" w:color="auto" w:fill="FFFFFF"/>
              </w:rPr>
              <w:t>（1）《军人抚恤优待条例》第四十九条：“抚恤优待对象有下列行为之一的，由县级人民政府退役军人事务部门给予警告，限期退回非法所得；情节严重的，停止其享受的抚恤、优待；构成犯罪的，依法追究刑事责任：（一）冒领抚恤金、优待金、补助金的；（二）虚报病情骗取医药费的；（三）出具假证明，伪造证件、印章骗取抚恤金、优待金、补助金的。”</w:t>
            </w:r>
          </w:p>
          <w:p w14:paraId="71851EF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rPr>
              <w:t>（2）《伤残抚恤管理办法》第二十七条：“有下列行为之一的，由县级人民政府退役军人事务部门给予警告，停止其享受的抚恤、优待，追回非法所得；构成犯罪的，依法追究刑事责任：（一）伪造残情的；（二）冒领抚恤金的；（三）骗取医药费等费用的；（四）出具假证明，伪造证件、印章骗取抚恤金和相关待遇的。”</w:t>
            </w:r>
          </w:p>
        </w:tc>
        <w:tc>
          <w:tcPr>
            <w:tcW w:w="1842" w:type="pct"/>
            <w:tcBorders>
              <w:top w:val="single" w:color="auto" w:sz="4" w:space="0"/>
              <w:left w:val="single" w:color="auto" w:sz="4" w:space="0"/>
              <w:bottom w:val="single" w:color="auto" w:sz="4" w:space="0"/>
              <w:right w:val="single" w:color="auto" w:sz="4" w:space="0"/>
            </w:tcBorders>
            <w:vAlign w:val="center"/>
          </w:tcPr>
          <w:p w14:paraId="08522696">
            <w:pPr>
              <w:spacing w:line="300" w:lineRule="exact"/>
              <w:rPr>
                <w:rFonts w:hint="eastAsia" w:ascii="仿宋_GB2312" w:hAnsi="仿宋_GB2312" w:eastAsia="仿宋_GB2312" w:cs="仿宋_GB2312"/>
                <w:sz w:val="21"/>
                <w:szCs w:val="21"/>
              </w:rPr>
            </w:pPr>
            <w:r>
              <w:rPr>
                <w:rFonts w:hint="eastAsia" w:ascii="仿宋_GB2312" w:hAnsi="仿宋_GB2312" w:eastAsia="仿宋_GB2312" w:cs="仿宋_GB2312"/>
                <w:b w:val="0"/>
                <w:i w:val="0"/>
                <w:caps w:val="0"/>
                <w:color w:val="000000"/>
                <w:spacing w:val="0"/>
                <w:sz w:val="21"/>
                <w:szCs w:val="21"/>
                <w:shd w:val="clear" w:color="auto" w:fill="FFFFFF"/>
              </w:rPr>
              <w:t>具有</w:t>
            </w:r>
            <w:r>
              <w:rPr>
                <w:rFonts w:hint="eastAsia" w:ascii="仿宋_GB2312" w:hAnsi="仿宋_GB2312" w:eastAsia="仿宋_GB2312" w:cs="仿宋_GB2312"/>
                <w:b w:val="0"/>
                <w:i w:val="0"/>
                <w:caps w:val="0"/>
                <w:color w:val="000000"/>
                <w:spacing w:val="0"/>
                <w:sz w:val="21"/>
                <w:szCs w:val="21"/>
                <w:shd w:val="clear" w:color="auto" w:fill="FFFFFF"/>
                <w:lang w:val="en-US" w:eastAsia="zh-CN"/>
              </w:rPr>
              <w:t>《</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color w:val="000000"/>
                <w:sz w:val="21"/>
                <w:szCs w:val="21"/>
              </w:rPr>
              <w:t>非法获取抚恤优待待遇</w:t>
            </w:r>
            <w:r>
              <w:rPr>
                <w:rFonts w:hint="eastAsia" w:ascii="仿宋_GB2312" w:hAnsi="仿宋_GB2312" w:eastAsia="仿宋_GB2312" w:cs="仿宋_GB2312"/>
                <w:b w:val="0"/>
                <w:i w:val="0"/>
                <w:caps w:val="0"/>
                <w:color w:val="000000"/>
                <w:spacing w:val="0"/>
                <w:sz w:val="21"/>
                <w:szCs w:val="21"/>
                <w:shd w:val="clear" w:color="auto" w:fill="FFFFFF"/>
                <w:lang w:eastAsia="zh-CN"/>
              </w:rPr>
              <w:t>”规定的从重情形：“</w:t>
            </w:r>
            <w:r>
              <w:rPr>
                <w:rFonts w:hint="eastAsia" w:ascii="仿宋_GB2312" w:hAnsi="仿宋_GB2312" w:eastAsia="仿宋_GB2312" w:cs="仿宋_GB2312"/>
                <w:color w:val="000000"/>
                <w:sz w:val="21"/>
                <w:szCs w:val="21"/>
                <w:shd w:val="clear" w:color="auto" w:fill="FFFFFF"/>
              </w:rPr>
              <w:t>冒领抚恤金、优待金、补助金的，所涉金额较大或者冒领时间较长或者责令限期退回而拒不退回的；骗取医药费等费用的，所涉金额较大或者责令限期退回而拒不退回的；出具假证明，伪造证件、印章骗取抚恤金和相关待遇的，所涉金额较大或者骗取时间较长，责令限期退回而拒不退回的。</w:t>
            </w:r>
            <w:r>
              <w:rPr>
                <w:rFonts w:hint="eastAsia" w:ascii="仿宋_GB2312" w:hAnsi="仿宋_GB2312" w:eastAsia="仿宋_GB2312" w:cs="仿宋_GB2312"/>
                <w:b w:val="0"/>
                <w:i w:val="0"/>
                <w:caps w:val="0"/>
                <w:color w:val="000000"/>
                <w:spacing w:val="0"/>
                <w:sz w:val="21"/>
                <w:szCs w:val="21"/>
                <w:shd w:val="clear" w:color="auto" w:fill="FFFFFF"/>
                <w:lang w:eastAsia="zh-CN"/>
              </w:rPr>
              <w:t>”</w:t>
            </w:r>
          </w:p>
        </w:tc>
      </w:tr>
      <w:tr w14:paraId="7B6041A4">
        <w:tblPrEx>
          <w:tblCellMar>
            <w:top w:w="0" w:type="dxa"/>
            <w:left w:w="28" w:type="dxa"/>
            <w:bottom w:w="0" w:type="dxa"/>
            <w:right w:w="28" w:type="dxa"/>
          </w:tblCellMar>
        </w:tblPrEx>
        <w:trPr>
          <w:cantSplit/>
          <w:trHeight w:val="2040" w:hRule="atLeast"/>
          <w:jc w:val="center"/>
        </w:trPr>
        <w:tc>
          <w:tcPr>
            <w:tcW w:w="357" w:type="pct"/>
            <w:tcBorders>
              <w:top w:val="single" w:color="auto" w:sz="4" w:space="0"/>
              <w:left w:val="single" w:color="auto" w:sz="4" w:space="0"/>
              <w:bottom w:val="single" w:color="auto" w:sz="4" w:space="0"/>
              <w:right w:val="single" w:color="auto" w:sz="4" w:space="0"/>
            </w:tcBorders>
            <w:vAlign w:val="center"/>
          </w:tcPr>
          <w:p w14:paraId="4A46C415">
            <w:pPr>
              <w:spacing w:line="300" w:lineRule="exact"/>
              <w:jc w:val="cente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w:t>
            </w:r>
          </w:p>
        </w:tc>
        <w:tc>
          <w:tcPr>
            <w:tcW w:w="693" w:type="pct"/>
            <w:tcBorders>
              <w:top w:val="single" w:color="auto" w:sz="4" w:space="0"/>
              <w:left w:val="single" w:color="auto" w:sz="4" w:space="0"/>
              <w:bottom w:val="single" w:color="auto" w:sz="4" w:space="0"/>
              <w:right w:val="single" w:color="auto" w:sz="4" w:space="0"/>
            </w:tcBorders>
            <w:vAlign w:val="center"/>
          </w:tcPr>
          <w:p w14:paraId="2049EC6E">
            <w:pPr>
              <w:spacing w:line="300" w:lineRule="exact"/>
              <w:jc w:val="left"/>
              <w:rPr>
                <w:rFonts w:hint="eastAsia" w:ascii="仿宋_GB2312" w:hAnsi="仿宋_GB2312" w:eastAsia="仿宋_GB2312" w:cs="仿宋_GB2312"/>
                <w:i w:val="0"/>
                <w:iCs w:val="0"/>
                <w:color w:val="000000"/>
                <w:kern w:val="0"/>
                <w:sz w:val="21"/>
                <w:szCs w:val="21"/>
                <w:u w:val="none"/>
                <w:lang w:val="en-US" w:eastAsia="zh-CN" w:bidi="ar"/>
              </w:rPr>
            </w:pPr>
            <w:r>
              <w:rPr>
                <w:rFonts w:hint="eastAsia" w:ascii="仿宋_GB2312" w:hAnsi="仿宋_GB2312" w:eastAsia="仿宋_GB2312" w:cs="仿宋_GB2312"/>
                <w:i w:val="0"/>
                <w:iCs w:val="0"/>
                <w:color w:val="000000"/>
                <w:kern w:val="0"/>
                <w:sz w:val="21"/>
                <w:szCs w:val="21"/>
                <w:u w:val="none"/>
                <w:lang w:val="en-US" w:eastAsia="zh-CN" w:bidi="ar"/>
              </w:rPr>
              <w:t>对负有烈士遗属优待义务的单位不履行优待义务的</w:t>
            </w:r>
            <w:r>
              <w:rPr>
                <w:rFonts w:hint="eastAsia" w:ascii="仿宋_GB2312" w:hAnsi="仿宋_GB2312" w:eastAsia="仿宋_GB2312" w:cs="仿宋_GB2312"/>
                <w:i w:val="0"/>
                <w:iCs w:val="0"/>
                <w:color w:val="000000"/>
                <w:kern w:val="0"/>
                <w:sz w:val="21"/>
                <w:szCs w:val="21"/>
                <w:u w:val="none"/>
                <w:lang w:eastAsia="zh-CN" w:bidi="ar"/>
              </w:rPr>
              <w:t>行政</w:t>
            </w:r>
            <w:r>
              <w:rPr>
                <w:rFonts w:hint="eastAsia" w:ascii="仿宋_GB2312" w:hAnsi="仿宋_GB2312" w:eastAsia="仿宋_GB2312" w:cs="仿宋_GB2312"/>
                <w:i w:val="0"/>
                <w:iCs w:val="0"/>
                <w:color w:val="000000"/>
                <w:kern w:val="0"/>
                <w:sz w:val="21"/>
                <w:szCs w:val="21"/>
                <w:u w:val="none"/>
                <w:lang w:val="en-US" w:eastAsia="zh-CN" w:bidi="ar"/>
              </w:rPr>
              <w:t>处罚</w:t>
            </w:r>
          </w:p>
        </w:tc>
        <w:tc>
          <w:tcPr>
            <w:tcW w:w="498" w:type="pct"/>
            <w:tcBorders>
              <w:top w:val="single" w:color="auto" w:sz="4" w:space="0"/>
              <w:left w:val="single" w:color="auto" w:sz="4" w:space="0"/>
              <w:bottom w:val="single" w:color="auto" w:sz="4" w:space="0"/>
              <w:right w:val="single" w:color="auto" w:sz="4" w:space="0"/>
            </w:tcBorders>
            <w:vAlign w:val="center"/>
          </w:tcPr>
          <w:p w14:paraId="63C23A69">
            <w:pPr>
              <w:spacing w:line="300" w:lineRule="exact"/>
              <w:jc w:val="center"/>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i w:val="0"/>
                <w:caps w:val="0"/>
                <w:color w:val="000000"/>
                <w:spacing w:val="0"/>
                <w:sz w:val="21"/>
                <w:szCs w:val="21"/>
                <w:shd w:val="clear" w:color="auto" w:fill="FFFFFF"/>
                <w:lang w:eastAsia="zh-CN"/>
              </w:rPr>
              <w:t>县级</w:t>
            </w:r>
          </w:p>
        </w:tc>
        <w:tc>
          <w:tcPr>
            <w:tcW w:w="1608" w:type="pct"/>
            <w:tcBorders>
              <w:top w:val="single" w:color="auto" w:sz="4" w:space="0"/>
              <w:left w:val="single" w:color="auto" w:sz="4" w:space="0"/>
              <w:bottom w:val="single" w:color="auto" w:sz="4" w:space="0"/>
              <w:right w:val="single" w:color="auto" w:sz="4" w:space="0"/>
            </w:tcBorders>
            <w:vAlign w:val="center"/>
          </w:tcPr>
          <w:p w14:paraId="4E48FA02">
            <w:pPr>
              <w:spacing w:line="300" w:lineRule="exact"/>
              <w:jc w:val="left"/>
              <w:rPr>
                <w:rFonts w:hint="eastAsia" w:ascii="仿宋_GB2312" w:hAnsi="仿宋_GB2312" w:eastAsia="仿宋_GB2312" w:cs="仿宋_GB2312"/>
                <w:b w:val="0"/>
                <w:i w:val="0"/>
                <w:caps w:val="0"/>
                <w:color w:val="000000"/>
                <w:spacing w:val="0"/>
                <w:kern w:val="2"/>
                <w:sz w:val="21"/>
                <w:szCs w:val="21"/>
                <w:shd w:val="clear" w:color="auto" w:fill="FFFFFF"/>
                <w:lang w:val="en-US" w:eastAsia="zh-CN" w:bidi="ar-SA"/>
              </w:rPr>
            </w:pPr>
            <w:r>
              <w:rPr>
                <w:rFonts w:hint="eastAsia" w:ascii="仿宋_GB2312" w:hAnsi="仿宋_GB2312" w:eastAsia="仿宋_GB2312" w:cs="仿宋_GB2312"/>
                <w:b w:val="0"/>
                <w:color w:val="000000"/>
                <w:sz w:val="21"/>
                <w:szCs w:val="21"/>
              </w:rPr>
              <w:t>《烈士褒扬条例》第三十八条：“负有烈士遗属优待义务的单位不履行优待义务的，由县级人民政府退役军人事务部门责令限期改正；逾期不改正的，处2000元以上1万元以下的罚款；属于国有或者国有控股企业、财政拨款的事业单位的，对直接负责的主管人员和其他直接责任人员依法给予处分。”</w:t>
            </w:r>
          </w:p>
        </w:tc>
        <w:tc>
          <w:tcPr>
            <w:tcW w:w="1842" w:type="pct"/>
            <w:tcBorders>
              <w:top w:val="single" w:color="auto" w:sz="4" w:space="0"/>
              <w:left w:val="single" w:color="auto" w:sz="4" w:space="0"/>
              <w:bottom w:val="single" w:color="auto" w:sz="4" w:space="0"/>
              <w:right w:val="single" w:color="auto" w:sz="4" w:space="0"/>
            </w:tcBorders>
            <w:vAlign w:val="center"/>
          </w:tcPr>
          <w:p w14:paraId="01B9612F">
            <w:pPr>
              <w:spacing w:line="300" w:lineRule="exact"/>
              <w:rPr>
                <w:rFonts w:hint="eastAsia" w:ascii="仿宋_GB2312" w:hAnsi="仿宋_GB2312" w:eastAsia="仿宋_GB2312" w:cs="仿宋_GB2312"/>
                <w:sz w:val="21"/>
                <w:szCs w:val="21"/>
              </w:rPr>
            </w:pPr>
            <w:r>
              <w:rPr>
                <w:rFonts w:hint="eastAsia" w:ascii="仿宋_GB2312" w:hAnsi="仿宋_GB2312" w:eastAsia="仿宋_GB2312" w:cs="仿宋_GB2312"/>
                <w:b w:val="0"/>
                <w:i w:val="0"/>
                <w:caps w:val="0"/>
                <w:color w:val="000000"/>
                <w:spacing w:val="0"/>
                <w:sz w:val="21"/>
                <w:szCs w:val="21"/>
                <w:shd w:val="clear" w:color="auto" w:fill="FFFFFF"/>
              </w:rPr>
              <w:t>具有</w:t>
            </w:r>
            <w:r>
              <w:rPr>
                <w:rFonts w:hint="eastAsia" w:ascii="仿宋_GB2312" w:hAnsi="仿宋_GB2312" w:eastAsia="仿宋_GB2312" w:cs="仿宋_GB2312"/>
                <w:b w:val="0"/>
                <w:i w:val="0"/>
                <w:caps w:val="0"/>
                <w:color w:val="000000"/>
                <w:spacing w:val="0"/>
                <w:sz w:val="21"/>
                <w:szCs w:val="21"/>
                <w:shd w:val="clear" w:color="auto" w:fill="FFFFFF"/>
                <w:lang w:val="en-US" w:eastAsia="zh-CN"/>
              </w:rPr>
              <w:t>《</w:t>
            </w:r>
            <w:r>
              <w:rPr>
                <w:rFonts w:hint="eastAsia" w:ascii="仿宋_GB2312" w:hAnsi="仿宋_GB2312" w:eastAsia="仿宋_GB2312" w:cs="仿宋_GB2312"/>
                <w:b w:val="0"/>
                <w:i w:val="0"/>
                <w:caps w:val="0"/>
                <w:color w:val="000000"/>
                <w:spacing w:val="0"/>
                <w:sz w:val="21"/>
                <w:szCs w:val="21"/>
                <w:shd w:val="clear" w:color="auto" w:fill="FFFFFF"/>
              </w:rPr>
              <w:t>四川省退役军人事务系统行政裁量权基准》</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i w:val="0"/>
                <w:caps w:val="0"/>
                <w:color w:val="000000"/>
                <w:spacing w:val="0"/>
                <w:sz w:val="21"/>
                <w:szCs w:val="21"/>
                <w:shd w:val="clear" w:color="auto" w:fill="FFFFFF"/>
              </w:rPr>
              <w:t>川退役军人规〔2023〕1号</w:t>
            </w:r>
            <w:r>
              <w:rPr>
                <w:rFonts w:hint="eastAsia" w:ascii="仿宋_GB2312" w:hAnsi="仿宋_GB2312" w:eastAsia="仿宋_GB2312" w:cs="仿宋_GB2312"/>
                <w:b w:val="0"/>
                <w:i w:val="0"/>
                <w:caps w:val="0"/>
                <w:color w:val="000000"/>
                <w:spacing w:val="0"/>
                <w:sz w:val="21"/>
                <w:szCs w:val="21"/>
                <w:shd w:val="clear" w:color="auto" w:fill="FFFFFF"/>
                <w:lang w:eastAsia="zh-CN"/>
              </w:rPr>
              <w:t>）“</w:t>
            </w:r>
            <w:r>
              <w:rPr>
                <w:rFonts w:hint="eastAsia" w:ascii="仿宋_GB2312" w:hAnsi="仿宋_GB2312" w:eastAsia="仿宋_GB2312" w:cs="仿宋_GB2312"/>
                <w:b w:val="0"/>
                <w:color w:val="000000"/>
                <w:sz w:val="21"/>
                <w:szCs w:val="21"/>
              </w:rPr>
              <w:t>非法获取抚恤优待待遇</w:t>
            </w:r>
            <w:r>
              <w:rPr>
                <w:rFonts w:hint="eastAsia" w:ascii="仿宋_GB2312" w:hAnsi="仿宋_GB2312" w:eastAsia="仿宋_GB2312" w:cs="仿宋_GB2312"/>
                <w:b w:val="0"/>
                <w:i w:val="0"/>
                <w:caps w:val="0"/>
                <w:color w:val="000000"/>
                <w:spacing w:val="0"/>
                <w:sz w:val="21"/>
                <w:szCs w:val="21"/>
                <w:shd w:val="clear" w:color="auto" w:fill="FFFFFF"/>
                <w:lang w:eastAsia="zh-CN"/>
              </w:rPr>
              <w:t>”规定的从重情形：“</w:t>
            </w:r>
            <w:r>
              <w:rPr>
                <w:rFonts w:hint="eastAsia" w:ascii="仿宋_GB2312" w:hAnsi="仿宋_GB2312" w:eastAsia="仿宋_GB2312" w:cs="仿宋_GB2312"/>
                <w:b w:val="0"/>
                <w:color w:val="000000"/>
                <w:sz w:val="21"/>
                <w:szCs w:val="21"/>
              </w:rPr>
              <w:t>负有烈士遗属优待义务的单位不履行优待义务，</w:t>
            </w:r>
            <w:r>
              <w:rPr>
                <w:rFonts w:hint="eastAsia" w:ascii="仿宋_GB2312" w:hAnsi="仿宋_GB2312" w:eastAsia="仿宋_GB2312" w:cs="仿宋_GB2312"/>
                <w:b w:val="0"/>
                <w:i w:val="0"/>
                <w:caps w:val="0"/>
                <w:color w:val="000000"/>
                <w:spacing w:val="0"/>
                <w:sz w:val="21"/>
                <w:szCs w:val="21"/>
                <w:shd w:val="clear" w:color="auto" w:fill="FFFFFF"/>
              </w:rPr>
              <w:t>责令限期履行而逾期仍未履行，社会影响恶劣的</w:t>
            </w:r>
            <w:r>
              <w:rPr>
                <w:rFonts w:hint="eastAsia" w:ascii="仿宋_GB2312" w:hAnsi="仿宋_GB2312" w:eastAsia="仿宋_GB2312" w:cs="仿宋_GB2312"/>
                <w:b w:val="0"/>
                <w:color w:val="000000"/>
                <w:sz w:val="21"/>
                <w:szCs w:val="21"/>
              </w:rPr>
              <w:t>；以暴力、威胁以及提供虚假陈述、伪造、隐匿、销毁证据材料等方式抗拒、阻碍执法等法定从重情节的。</w:t>
            </w:r>
            <w:r>
              <w:rPr>
                <w:rFonts w:hint="eastAsia" w:ascii="仿宋_GB2312" w:hAnsi="仿宋_GB2312" w:eastAsia="仿宋_GB2312" w:cs="仿宋_GB2312"/>
                <w:b w:val="0"/>
                <w:i w:val="0"/>
                <w:caps w:val="0"/>
                <w:color w:val="000000"/>
                <w:spacing w:val="0"/>
                <w:sz w:val="21"/>
                <w:szCs w:val="21"/>
                <w:shd w:val="clear" w:color="auto" w:fill="FFFFFF"/>
                <w:lang w:eastAsia="zh-CN"/>
              </w:rPr>
              <w:t>”</w:t>
            </w:r>
          </w:p>
        </w:tc>
      </w:tr>
    </w:tbl>
    <w:p w14:paraId="2F27AC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八、广元市退役军人事务局随机抽查事项清单、2024年抽查计划</w:t>
      </w:r>
    </w:p>
    <w:p w14:paraId="15CE3D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（一）随机抽查事项清单</w:t>
      </w:r>
    </w:p>
    <w:tbl>
      <w:tblPr>
        <w:tblStyle w:val="6"/>
        <w:tblW w:w="8890" w:type="dxa"/>
        <w:tblInd w:w="-19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90"/>
        <w:gridCol w:w="620"/>
        <w:gridCol w:w="517"/>
        <w:gridCol w:w="550"/>
        <w:gridCol w:w="4973"/>
        <w:gridCol w:w="637"/>
        <w:gridCol w:w="1103"/>
      </w:tblGrid>
      <w:tr w14:paraId="1C87F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50" w:hRule="atLeast"/>
        </w:trPr>
        <w:tc>
          <w:tcPr>
            <w:tcW w:w="490" w:type="dxa"/>
            <w:tcBorders>
              <w:top w:val="single" w:color="000000" w:sz="4" w:space="0"/>
              <w:left w:val="single" w:color="000000" w:sz="4" w:space="0"/>
              <w:bottom w:val="single" w:color="000000" w:sz="4" w:space="0"/>
              <w:right w:val="single" w:color="000000" w:sz="4" w:space="0"/>
              <w:tl2br w:val="nil"/>
            </w:tcBorders>
            <w:shd w:val="clear" w:color="auto" w:fill="auto"/>
            <w:vAlign w:val="center"/>
          </w:tcPr>
          <w:p w14:paraId="08420923">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序号</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6EFE">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抽查事项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156D">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抽查对象</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FA5C">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抽查内容</w:t>
            </w:r>
          </w:p>
        </w:tc>
        <w:tc>
          <w:tcPr>
            <w:tcW w:w="4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3770">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抽查依据</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D5470">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抽查方式</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02F41">
            <w:pPr>
              <w:bidi w:val="0"/>
              <w:jc w:val="center"/>
              <w:rPr>
                <w:rFonts w:hint="eastAsia" w:ascii="黑体" w:hAnsi="黑体" w:eastAsia="黑体" w:cs="黑体"/>
                <w:b w:val="0"/>
                <w:color w:val="000000"/>
              </w:rPr>
            </w:pPr>
            <w:r>
              <w:rPr>
                <w:rFonts w:hint="eastAsia" w:ascii="黑体" w:hAnsi="黑体" w:eastAsia="黑体" w:cs="黑体"/>
                <w:b w:val="0"/>
                <w:color w:val="000000"/>
                <w:lang w:val="en-US" w:eastAsia="zh-CN"/>
              </w:rPr>
              <w:t>抽查比例和频次</w:t>
            </w:r>
          </w:p>
        </w:tc>
      </w:tr>
      <w:tr w14:paraId="48622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30" w:hRule="atLeast"/>
        </w:trPr>
        <w:tc>
          <w:tcPr>
            <w:tcW w:w="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FF275">
            <w:pPr>
              <w:bidi w:val="0"/>
              <w:jc w:val="center"/>
              <w:rPr>
                <w:rFonts w:hint="eastAsia" w:ascii="仿宋" w:hAnsi="仿宋" w:eastAsia="仿宋" w:cs="仿宋"/>
                <w:b w:val="0"/>
                <w:color w:val="000000"/>
              </w:rPr>
            </w:pPr>
            <w:r>
              <w:rPr>
                <w:rFonts w:hint="eastAsia" w:ascii="仿宋" w:hAnsi="仿宋" w:eastAsia="仿宋" w:cs="仿宋"/>
                <w:b w:val="0"/>
                <w:color w:val="000000"/>
                <w:lang w:val="en-US" w:eastAsia="zh-CN"/>
              </w:rPr>
              <w:t>1</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D7C37">
            <w:pPr>
              <w:bidi w:val="0"/>
              <w:jc w:val="center"/>
              <w:rPr>
                <w:rFonts w:hint="eastAsia" w:ascii="仿宋" w:hAnsi="仿宋" w:eastAsia="仿宋" w:cs="仿宋"/>
                <w:b w:val="0"/>
                <w:color w:val="000000"/>
              </w:rPr>
            </w:pPr>
            <w:r>
              <w:rPr>
                <w:rFonts w:hint="eastAsia" w:ascii="仿宋" w:hAnsi="仿宋" w:eastAsia="仿宋" w:cs="仿宋"/>
                <w:b w:val="0"/>
                <w:color w:val="000000"/>
                <w:lang w:val="en-US" w:eastAsia="zh-CN"/>
              </w:rPr>
              <w:t>对履行安置义务单位的检查</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7F1E4">
            <w:pPr>
              <w:bidi w:val="0"/>
              <w:jc w:val="center"/>
              <w:rPr>
                <w:rFonts w:hint="eastAsia" w:ascii="仿宋" w:hAnsi="仿宋" w:eastAsia="仿宋" w:cs="仿宋"/>
                <w:b w:val="0"/>
                <w:color w:val="000000"/>
              </w:rPr>
            </w:pPr>
            <w:r>
              <w:rPr>
                <w:rFonts w:hint="eastAsia" w:ascii="仿宋" w:hAnsi="仿宋" w:eastAsia="仿宋" w:cs="仿宋"/>
                <w:b w:val="0"/>
                <w:color w:val="000000"/>
                <w:lang w:val="en-US" w:eastAsia="zh-CN"/>
              </w:rPr>
              <w:t>企业</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1284B">
            <w:pPr>
              <w:bidi w:val="0"/>
              <w:jc w:val="center"/>
              <w:rPr>
                <w:rFonts w:hint="eastAsia" w:ascii="仿宋" w:hAnsi="仿宋" w:eastAsia="仿宋" w:cs="仿宋"/>
                <w:b w:val="0"/>
                <w:color w:val="000000"/>
              </w:rPr>
            </w:pPr>
            <w:r>
              <w:rPr>
                <w:rFonts w:hint="eastAsia" w:ascii="仿宋" w:hAnsi="仿宋" w:eastAsia="仿宋" w:cs="仿宋"/>
                <w:b w:val="0"/>
                <w:color w:val="000000"/>
                <w:lang w:val="en-US" w:eastAsia="zh-CN"/>
              </w:rPr>
              <w:t>是否履行退役军人安置义务</w:t>
            </w:r>
          </w:p>
        </w:tc>
        <w:tc>
          <w:tcPr>
            <w:tcW w:w="49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3FF65">
            <w:pPr>
              <w:bidi w:val="0"/>
              <w:jc w:val="left"/>
              <w:rPr>
                <w:rFonts w:hint="eastAsia" w:ascii="仿宋" w:hAnsi="仿宋" w:eastAsia="仿宋" w:cs="仿宋"/>
                <w:b w:val="0"/>
                <w:color w:val="000000"/>
              </w:rPr>
            </w:pPr>
            <w:r>
              <w:rPr>
                <w:rFonts w:hint="eastAsia" w:ascii="仿宋" w:hAnsi="仿宋" w:eastAsia="仿宋" w:cs="仿宋"/>
                <w:b w:val="0"/>
                <w:color w:val="000000"/>
                <w:lang w:val="en-US" w:eastAsia="zh-CN"/>
              </w:rPr>
              <w:t>【行政法规】《退役士兵安置条例》（2011年10月国务院、中央军委令第608号）第五十条：“ 接收安置退役士兵的单位违反本条例的规定，有下列情形之一的，由当地人民政府退役士兵安置工作主管部门责令限期改正；逾期不改的，对国家机关、社会团体、事业单位主要负责人和直接责任人员依法给予处分，对企业按照涉及退役士兵人数乘以当地上年度城镇职工平均工资10倍的金额处以罚款，并对接收单位及其主要负责人予以通报批评：（一）拒绝或者无故拖延执行人民政府下达的安排退役士兵工作任务的；（二）未依法与退役士兵签订劳动合同、聘用合同的；（三）与残疾退役士兵解除劳动关系或者人事关系的。”</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BFD1A">
            <w:pPr>
              <w:bidi w:val="0"/>
              <w:jc w:val="center"/>
              <w:rPr>
                <w:rFonts w:hint="eastAsia" w:ascii="仿宋" w:hAnsi="仿宋" w:eastAsia="仿宋" w:cs="仿宋"/>
                <w:b w:val="0"/>
                <w:color w:val="000000"/>
              </w:rPr>
            </w:pPr>
            <w:r>
              <w:rPr>
                <w:rFonts w:hint="eastAsia" w:ascii="仿宋" w:hAnsi="仿宋" w:eastAsia="仿宋" w:cs="仿宋"/>
                <w:b w:val="0"/>
                <w:color w:val="000000"/>
                <w:lang w:val="en-US" w:eastAsia="zh-CN"/>
              </w:rPr>
              <w:t>定期检查和不定期检查</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2C7D">
            <w:pPr>
              <w:bidi w:val="0"/>
              <w:jc w:val="center"/>
              <w:rPr>
                <w:rFonts w:hint="default" w:ascii="仿宋" w:hAnsi="仿宋" w:eastAsia="仿宋" w:cs="仿宋"/>
                <w:b w:val="0"/>
                <w:color w:val="000000"/>
                <w:lang w:val="en-US" w:eastAsia="zh-CN"/>
              </w:rPr>
            </w:pPr>
            <w:r>
              <w:rPr>
                <w:rFonts w:hint="eastAsia" w:ascii="仿宋" w:hAnsi="仿宋" w:eastAsia="仿宋" w:cs="仿宋"/>
                <w:b w:val="0"/>
                <w:color w:val="000000"/>
                <w:lang w:val="en-US" w:eastAsia="zh-CN"/>
              </w:rPr>
              <w:t>据实确定</w:t>
            </w:r>
          </w:p>
        </w:tc>
      </w:tr>
    </w:tbl>
    <w:p w14:paraId="3ADC6A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（二）2024年抽查计划</w:t>
      </w:r>
    </w:p>
    <w:p w14:paraId="52AD552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1.工作目标</w:t>
      </w:r>
    </w:p>
    <w:p w14:paraId="2A7AEA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随机抽查工作达到抽查事项覆盖率100%、任务完成率100%、事件处置率100%。</w:t>
      </w:r>
    </w:p>
    <w:p w14:paraId="2F3283A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2.抽查范围</w:t>
      </w:r>
    </w:p>
    <w:p w14:paraId="16A7E8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随机抽查的范围为退役军人优抚安置等重点行业领域开展抽查。</w:t>
      </w:r>
    </w:p>
    <w:p w14:paraId="20BC315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3.抽查事项</w:t>
      </w:r>
    </w:p>
    <w:p w14:paraId="33E9B1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根据《随机抽查事项清单》中的执法事项进行检查。</w:t>
      </w:r>
    </w:p>
    <w:p w14:paraId="44A7B38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4.计划实施</w:t>
      </w:r>
    </w:p>
    <w:p w14:paraId="6F4DF53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确定检查对象和执法人员。监督检查从任务下达之日开始。</w:t>
      </w:r>
    </w:p>
    <w:p w14:paraId="60D8699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九、广元市退役军人事务局2024</w:t>
      </w:r>
      <w:r>
        <w:rPr>
          <w:rFonts w:hint="default" w:ascii="黑体" w:hAnsi="黑体" w:eastAsia="黑体" w:cs="黑体"/>
          <w:sz w:val="32"/>
          <w:szCs w:val="32"/>
          <w:lang w:val="en-US" w:eastAsia="zh-CN"/>
        </w:rPr>
        <w:t>年度“双随机一公开抽查”计划</w:t>
      </w:r>
    </w:p>
    <w:tbl>
      <w:tblPr>
        <w:tblStyle w:val="6"/>
        <w:tblW w:w="9420" w:type="dxa"/>
        <w:tblInd w:w="-45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70"/>
        <w:gridCol w:w="1230"/>
        <w:gridCol w:w="1070"/>
        <w:gridCol w:w="782"/>
        <w:gridCol w:w="858"/>
        <w:gridCol w:w="1067"/>
        <w:gridCol w:w="817"/>
        <w:gridCol w:w="1146"/>
        <w:gridCol w:w="1110"/>
        <w:gridCol w:w="770"/>
      </w:tblGrid>
      <w:tr w14:paraId="5B730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3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3BF1382C">
            <w:pPr>
              <w:bidi w:val="0"/>
              <w:jc w:val="center"/>
              <w:rPr>
                <w:rFonts w:hint="eastAsia" w:ascii="黑体" w:hAnsi="黑体" w:eastAsia="黑体" w:cs="黑体"/>
              </w:rPr>
            </w:pPr>
            <w:r>
              <w:rPr>
                <w:rFonts w:hint="eastAsia" w:ascii="黑体" w:hAnsi="黑体" w:eastAsia="黑体" w:cs="黑体"/>
              </w:rPr>
              <w:t>序号</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7DFC0698">
            <w:pPr>
              <w:bidi w:val="0"/>
              <w:jc w:val="center"/>
              <w:rPr>
                <w:rFonts w:hint="eastAsia" w:ascii="黑体" w:hAnsi="黑体" w:eastAsia="黑体" w:cs="黑体"/>
              </w:rPr>
            </w:pPr>
            <w:r>
              <w:rPr>
                <w:rFonts w:hint="eastAsia" w:ascii="黑体" w:hAnsi="黑体" w:eastAsia="黑体" w:cs="黑体"/>
              </w:rPr>
              <w:t>抽查事项</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020FBE34">
            <w:pPr>
              <w:bidi w:val="0"/>
              <w:jc w:val="center"/>
              <w:rPr>
                <w:rFonts w:hint="eastAsia" w:ascii="黑体" w:hAnsi="黑体" w:eastAsia="黑体" w:cs="黑体"/>
              </w:rPr>
            </w:pPr>
            <w:r>
              <w:rPr>
                <w:rFonts w:hint="eastAsia" w:ascii="黑体" w:hAnsi="黑体" w:eastAsia="黑体" w:cs="黑体"/>
              </w:rPr>
              <w:t>任务名称</w:t>
            </w:r>
          </w:p>
        </w:tc>
        <w:tc>
          <w:tcPr>
            <w:tcW w:w="782"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718FEBE3">
            <w:pPr>
              <w:bidi w:val="0"/>
              <w:jc w:val="center"/>
              <w:rPr>
                <w:rFonts w:hint="eastAsia" w:ascii="黑体" w:hAnsi="黑体" w:eastAsia="黑体" w:cs="黑体"/>
              </w:rPr>
            </w:pPr>
            <w:r>
              <w:rPr>
                <w:rFonts w:hint="eastAsia" w:ascii="黑体" w:hAnsi="黑体" w:eastAsia="黑体" w:cs="黑体"/>
              </w:rPr>
              <w:t>抽查方式</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6F0CA445">
            <w:pPr>
              <w:bidi w:val="0"/>
              <w:jc w:val="center"/>
              <w:rPr>
                <w:rFonts w:hint="eastAsia" w:ascii="黑体" w:hAnsi="黑体" w:eastAsia="黑体" w:cs="黑体"/>
              </w:rPr>
            </w:pPr>
            <w:r>
              <w:rPr>
                <w:rFonts w:hint="eastAsia" w:ascii="黑体" w:hAnsi="黑体" w:eastAsia="黑体" w:cs="黑体"/>
              </w:rPr>
              <w:t>检查</w:t>
            </w:r>
          </w:p>
          <w:p w14:paraId="331FFE75">
            <w:pPr>
              <w:bidi w:val="0"/>
              <w:jc w:val="center"/>
              <w:rPr>
                <w:rFonts w:hint="eastAsia" w:ascii="黑体" w:hAnsi="黑体" w:eastAsia="黑体" w:cs="黑体"/>
              </w:rPr>
            </w:pPr>
            <w:r>
              <w:rPr>
                <w:rFonts w:hint="eastAsia" w:ascii="黑体" w:hAnsi="黑体" w:eastAsia="黑体" w:cs="黑体"/>
              </w:rPr>
              <w:t>对象</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6C57AB4D">
            <w:pPr>
              <w:bidi w:val="0"/>
              <w:jc w:val="center"/>
              <w:rPr>
                <w:rFonts w:hint="eastAsia" w:ascii="黑体" w:hAnsi="黑体" w:eastAsia="黑体" w:cs="黑体"/>
                <w:lang w:val="en-US" w:eastAsia="zh-CN"/>
              </w:rPr>
            </w:pPr>
            <w:r>
              <w:rPr>
                <w:rFonts w:hint="eastAsia" w:ascii="黑体" w:hAnsi="黑体" w:eastAsia="黑体" w:cs="黑体"/>
              </w:rPr>
              <w:t>抽查对象</w:t>
            </w:r>
            <w:r>
              <w:rPr>
                <w:rFonts w:hint="eastAsia" w:ascii="黑体" w:hAnsi="黑体" w:eastAsia="黑体" w:cs="黑体"/>
                <w:lang w:val="en-US" w:eastAsia="zh-CN"/>
              </w:rPr>
              <w:t>数量</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1247C530">
            <w:pPr>
              <w:bidi w:val="0"/>
              <w:jc w:val="center"/>
              <w:rPr>
                <w:rFonts w:hint="eastAsia" w:ascii="黑体" w:hAnsi="黑体" w:eastAsia="黑体" w:cs="黑体"/>
              </w:rPr>
            </w:pPr>
            <w:r>
              <w:rPr>
                <w:rFonts w:hint="eastAsia" w:ascii="黑体" w:hAnsi="黑体" w:eastAsia="黑体" w:cs="黑体"/>
              </w:rPr>
              <w:t>抽查时间</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2A323362">
            <w:pPr>
              <w:bidi w:val="0"/>
              <w:jc w:val="center"/>
              <w:rPr>
                <w:rFonts w:hint="eastAsia" w:ascii="黑体" w:hAnsi="黑体" w:eastAsia="黑体" w:cs="黑体"/>
              </w:rPr>
            </w:pPr>
            <w:r>
              <w:rPr>
                <w:rFonts w:hint="eastAsia" w:ascii="黑体" w:hAnsi="黑体" w:eastAsia="黑体" w:cs="黑体"/>
              </w:rPr>
              <w:t>执行主体</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15C8F98D">
            <w:pPr>
              <w:bidi w:val="0"/>
              <w:jc w:val="center"/>
              <w:rPr>
                <w:rFonts w:hint="eastAsia" w:ascii="黑体" w:hAnsi="黑体" w:eastAsia="黑体" w:cs="黑体"/>
              </w:rPr>
            </w:pPr>
            <w:r>
              <w:rPr>
                <w:rFonts w:hint="eastAsia" w:ascii="黑体" w:hAnsi="黑体" w:eastAsia="黑体" w:cs="黑体"/>
              </w:rPr>
              <w:t>是否为部门联合</w:t>
            </w:r>
          </w:p>
          <w:p w14:paraId="0F8C3F84">
            <w:pPr>
              <w:bidi w:val="0"/>
              <w:jc w:val="center"/>
              <w:rPr>
                <w:rFonts w:hint="eastAsia" w:ascii="黑体" w:hAnsi="黑体" w:eastAsia="黑体" w:cs="黑体"/>
              </w:rPr>
            </w:pPr>
            <w:r>
              <w:rPr>
                <w:rFonts w:hint="eastAsia" w:ascii="黑体" w:hAnsi="黑体" w:eastAsia="黑体" w:cs="黑体"/>
              </w:rPr>
              <w:t>监管</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076B8751">
            <w:pPr>
              <w:bidi w:val="0"/>
              <w:jc w:val="center"/>
              <w:rPr>
                <w:rFonts w:hint="eastAsia" w:ascii="黑体" w:hAnsi="黑体" w:eastAsia="黑体" w:cs="黑体"/>
              </w:rPr>
            </w:pPr>
            <w:r>
              <w:rPr>
                <w:rFonts w:hint="eastAsia" w:ascii="黑体" w:hAnsi="黑体" w:eastAsia="黑体" w:cs="黑体"/>
              </w:rPr>
              <w:t>责任</w:t>
            </w:r>
          </w:p>
          <w:p w14:paraId="280F57AD">
            <w:pPr>
              <w:bidi w:val="0"/>
              <w:jc w:val="center"/>
              <w:rPr>
                <w:rFonts w:hint="eastAsia" w:ascii="黑体" w:hAnsi="黑体" w:eastAsia="黑体" w:cs="黑体"/>
              </w:rPr>
            </w:pPr>
            <w:r>
              <w:rPr>
                <w:rFonts w:hint="eastAsia" w:ascii="黑体" w:hAnsi="黑体" w:eastAsia="黑体" w:cs="黑体"/>
              </w:rPr>
              <w:t>部门</w:t>
            </w:r>
          </w:p>
        </w:tc>
      </w:tr>
      <w:tr w14:paraId="64B8C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3090"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217086E9">
            <w:pPr>
              <w:bidi w:val="0"/>
              <w:jc w:val="center"/>
              <w:rPr>
                <w:rFonts w:hint="eastAsia" w:ascii="仿宋" w:hAnsi="仿宋" w:eastAsia="仿宋" w:cs="仿宋"/>
              </w:rPr>
            </w:pPr>
            <w:r>
              <w:rPr>
                <w:rFonts w:hint="eastAsia" w:ascii="仿宋" w:hAnsi="仿宋" w:eastAsia="仿宋" w:cs="仿宋"/>
              </w:rPr>
              <w:t>1</w:t>
            </w: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0883D8D8">
            <w:pPr>
              <w:bidi w:val="0"/>
              <w:jc w:val="center"/>
              <w:rPr>
                <w:rFonts w:hint="eastAsia" w:ascii="仿宋" w:hAnsi="仿宋" w:eastAsia="仿宋" w:cs="仿宋"/>
              </w:rPr>
            </w:pPr>
            <w:r>
              <w:rPr>
                <w:rFonts w:hint="eastAsia" w:ascii="仿宋" w:hAnsi="仿宋" w:eastAsia="仿宋" w:cs="仿宋"/>
              </w:rPr>
              <w:t>本年度负有接收安置退役士兵义务的单位履行安置义务情况</w:t>
            </w:r>
          </w:p>
        </w:tc>
        <w:tc>
          <w:tcPr>
            <w:tcW w:w="107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47A66229">
            <w:pPr>
              <w:bidi w:val="0"/>
              <w:jc w:val="center"/>
              <w:rPr>
                <w:rFonts w:hint="eastAsia" w:ascii="仿宋" w:hAnsi="仿宋" w:eastAsia="仿宋" w:cs="仿宋"/>
              </w:rPr>
            </w:pPr>
            <w:r>
              <w:rPr>
                <w:rFonts w:hint="eastAsia" w:ascii="仿宋" w:hAnsi="仿宋" w:eastAsia="仿宋" w:cs="仿宋"/>
              </w:rPr>
              <w:t>202</w:t>
            </w:r>
            <w:r>
              <w:rPr>
                <w:rFonts w:hint="eastAsia" w:ascii="仿宋" w:hAnsi="仿宋" w:eastAsia="仿宋" w:cs="仿宋"/>
                <w:lang w:val="en-US" w:eastAsia="zh-CN"/>
              </w:rPr>
              <w:t>4</w:t>
            </w:r>
            <w:r>
              <w:rPr>
                <w:rFonts w:hint="eastAsia" w:ascii="仿宋" w:hAnsi="仿宋" w:eastAsia="仿宋" w:cs="仿宋"/>
              </w:rPr>
              <w:t>年退役士兵安置单位抽查任务</w:t>
            </w:r>
          </w:p>
        </w:tc>
        <w:tc>
          <w:tcPr>
            <w:tcW w:w="782"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0E4ACC3B">
            <w:pPr>
              <w:bidi w:val="0"/>
              <w:jc w:val="center"/>
              <w:rPr>
                <w:rFonts w:hint="eastAsia" w:ascii="仿宋" w:hAnsi="仿宋" w:eastAsia="仿宋" w:cs="仿宋"/>
              </w:rPr>
            </w:pPr>
            <w:r>
              <w:rPr>
                <w:rFonts w:hint="eastAsia" w:ascii="仿宋" w:hAnsi="仿宋" w:eastAsia="仿宋" w:cs="仿宋"/>
              </w:rPr>
              <w:t>电话或现场查看</w:t>
            </w:r>
          </w:p>
        </w:tc>
        <w:tc>
          <w:tcPr>
            <w:tcW w:w="858"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33C19B9C">
            <w:pPr>
              <w:bidi w:val="0"/>
              <w:jc w:val="center"/>
              <w:rPr>
                <w:rFonts w:hint="eastAsia" w:ascii="仿宋" w:hAnsi="仿宋" w:eastAsia="仿宋" w:cs="仿宋"/>
              </w:rPr>
            </w:pPr>
            <w:r>
              <w:rPr>
                <w:rFonts w:hint="eastAsia" w:ascii="仿宋" w:hAnsi="仿宋" w:eastAsia="仿宋" w:cs="仿宋"/>
              </w:rPr>
              <w:t>202</w:t>
            </w:r>
            <w:r>
              <w:rPr>
                <w:rFonts w:hint="eastAsia" w:ascii="仿宋" w:hAnsi="仿宋" w:eastAsia="仿宋" w:cs="仿宋"/>
                <w:lang w:val="en-US" w:eastAsia="zh-CN"/>
              </w:rPr>
              <w:t>4</w:t>
            </w:r>
            <w:r>
              <w:rPr>
                <w:rFonts w:hint="eastAsia" w:ascii="仿宋" w:hAnsi="仿宋" w:eastAsia="仿宋" w:cs="仿宋"/>
              </w:rPr>
              <w:t>年退役士兵计划安置单位</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24C1AD7C">
            <w:pPr>
              <w:bidi w:val="0"/>
              <w:jc w:val="center"/>
              <w:rPr>
                <w:rFonts w:hint="eastAsia" w:ascii="仿宋" w:hAnsi="仿宋" w:eastAsia="仿宋" w:cs="仿宋"/>
              </w:rPr>
            </w:pPr>
            <w:r>
              <w:rPr>
                <w:rFonts w:hint="eastAsia" w:ascii="仿宋" w:hAnsi="仿宋" w:eastAsia="仿宋" w:cs="仿宋"/>
              </w:rPr>
              <w:t>不少于3人</w:t>
            </w:r>
          </w:p>
        </w:tc>
        <w:tc>
          <w:tcPr>
            <w:tcW w:w="817"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79AF0396">
            <w:pPr>
              <w:bidi w:val="0"/>
              <w:jc w:val="center"/>
              <w:rPr>
                <w:rFonts w:hint="eastAsia" w:ascii="仿宋" w:hAnsi="仿宋" w:eastAsia="仿宋" w:cs="仿宋"/>
                <w:lang w:val="en-US" w:eastAsia="zh-CN"/>
              </w:rPr>
            </w:pPr>
            <w:r>
              <w:rPr>
                <w:rFonts w:hint="eastAsia" w:ascii="仿宋" w:hAnsi="仿宋" w:eastAsia="仿宋" w:cs="仿宋"/>
                <w:lang w:val="en-US" w:eastAsia="zh-CN"/>
              </w:rPr>
              <w:t>2024年度</w:t>
            </w:r>
          </w:p>
        </w:tc>
        <w:tc>
          <w:tcPr>
            <w:tcW w:w="1146"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716E5409">
            <w:pPr>
              <w:bidi w:val="0"/>
              <w:jc w:val="center"/>
              <w:rPr>
                <w:rFonts w:hint="eastAsia" w:ascii="仿宋" w:hAnsi="仿宋" w:eastAsia="仿宋" w:cs="仿宋"/>
              </w:rPr>
            </w:pPr>
            <w:r>
              <w:rPr>
                <w:rFonts w:hint="eastAsia" w:ascii="仿宋" w:hAnsi="仿宋" w:eastAsia="仿宋" w:cs="仿宋"/>
                <w:lang w:val="en-US" w:eastAsia="zh-CN"/>
              </w:rPr>
              <w:t>广元市</w:t>
            </w:r>
            <w:r>
              <w:rPr>
                <w:rFonts w:hint="eastAsia" w:ascii="仿宋" w:hAnsi="仿宋" w:eastAsia="仿宋" w:cs="仿宋"/>
              </w:rPr>
              <w:t>退役军人事务局</w:t>
            </w:r>
          </w:p>
        </w:tc>
        <w:tc>
          <w:tcPr>
            <w:tcW w:w="111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5D45AFCE">
            <w:pPr>
              <w:bidi w:val="0"/>
              <w:jc w:val="center"/>
              <w:rPr>
                <w:rFonts w:hint="eastAsia" w:ascii="仿宋" w:hAnsi="仿宋" w:eastAsia="仿宋" w:cs="仿宋"/>
              </w:rPr>
            </w:pPr>
            <w:r>
              <w:rPr>
                <w:rFonts w:hint="eastAsia" w:ascii="仿宋" w:hAnsi="仿宋" w:eastAsia="仿宋" w:cs="仿宋"/>
              </w:rPr>
              <w:t>否</w:t>
            </w:r>
          </w:p>
        </w:tc>
        <w:tc>
          <w:tcPr>
            <w:tcW w:w="770" w:type="dxa"/>
            <w:tcBorders>
              <w:top w:val="single" w:color="000000" w:sz="4" w:space="0"/>
              <w:left w:val="single" w:color="000000" w:sz="4" w:space="0"/>
              <w:bottom w:val="single" w:color="000000" w:sz="4" w:space="0"/>
              <w:right w:val="single" w:color="000000" w:sz="4" w:space="0"/>
            </w:tcBorders>
            <w:shd w:val="clear" w:color="auto" w:fill="auto"/>
            <w:tcMar>
              <w:left w:w="105" w:type="dxa"/>
              <w:right w:w="105" w:type="dxa"/>
            </w:tcMar>
            <w:vAlign w:val="center"/>
          </w:tcPr>
          <w:p w14:paraId="49790FD0">
            <w:pPr>
              <w:bidi w:val="0"/>
              <w:jc w:val="center"/>
              <w:rPr>
                <w:rFonts w:hint="eastAsia" w:ascii="仿宋" w:hAnsi="仿宋" w:eastAsia="仿宋" w:cs="仿宋"/>
                <w:lang w:val="en-US" w:eastAsia="zh-CN"/>
              </w:rPr>
            </w:pPr>
            <w:r>
              <w:rPr>
                <w:rFonts w:hint="eastAsia" w:ascii="仿宋" w:hAnsi="仿宋" w:eastAsia="仿宋" w:cs="仿宋"/>
                <w:lang w:val="en-US" w:eastAsia="zh-CN"/>
              </w:rPr>
              <w:t>安置</w:t>
            </w:r>
          </w:p>
          <w:p w14:paraId="3DCBF9F2">
            <w:pPr>
              <w:bidi w:val="0"/>
              <w:jc w:val="center"/>
              <w:rPr>
                <w:rFonts w:hint="eastAsia" w:ascii="仿宋" w:hAnsi="仿宋" w:eastAsia="仿宋" w:cs="仿宋"/>
                <w:lang w:eastAsia="zh-CN"/>
              </w:rPr>
            </w:pPr>
            <w:r>
              <w:rPr>
                <w:rFonts w:hint="eastAsia" w:ascii="仿宋" w:hAnsi="仿宋" w:eastAsia="仿宋" w:cs="仿宋"/>
                <w:lang w:val="en-US" w:eastAsia="zh-CN"/>
              </w:rPr>
              <w:t>就业科</w:t>
            </w:r>
          </w:p>
        </w:tc>
      </w:tr>
    </w:tbl>
    <w:p w14:paraId="0AC59E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十、广元市退役军人事务局行政执法文书样式</w:t>
      </w:r>
    </w:p>
    <w:p w14:paraId="027DC1B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参照《四川省行政执法文书标准》执行</w:t>
      </w:r>
    </w:p>
    <w:p w14:paraId="776843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十一、广元市退役军人事务局（监督信息）救济渠道、行政执法责任制</w:t>
      </w:r>
    </w:p>
    <w:p w14:paraId="6A3A32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（一）依法享有的权利</w:t>
      </w:r>
    </w:p>
    <w:p w14:paraId="1656F6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当事人依法享有申请回避、陈述、申辩、复议、诉讼等权利，详见相应法律法规。</w:t>
      </w:r>
    </w:p>
    <w:p w14:paraId="0044BA6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（二）救济途径</w:t>
      </w:r>
    </w:p>
    <w:p w14:paraId="6948F3E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1.行政复议</w:t>
      </w:r>
    </w:p>
    <w:p w14:paraId="414C64E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部门：广元市司法局行政复议科</w:t>
      </w:r>
    </w:p>
    <w:p w14:paraId="6B607F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 </w:t>
      </w:r>
      <w:r>
        <w:rPr>
          <w:rFonts w:hint="default" w:ascii="仿宋_GB2312" w:hAnsi="仿宋_GB2312" w:eastAsia="仿宋_GB2312" w:cs="仿宋_GB2312"/>
          <w:sz w:val="32"/>
          <w:szCs w:val="32"/>
          <w:lang w:val="en-US" w:eastAsia="zh-CN"/>
        </w:rPr>
        <w:t>广元市利州区雪峰大道15号</w:t>
      </w:r>
    </w:p>
    <w:p w14:paraId="0194F8D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2.行政诉讼</w:t>
      </w:r>
    </w:p>
    <w:p w14:paraId="7529891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单位：广元市利州区人民法院  </w:t>
      </w:r>
    </w:p>
    <w:p w14:paraId="4E3A92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地址：广元市利州区利州东路1070号</w:t>
      </w:r>
    </w:p>
    <w:p w14:paraId="64E5C3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（三）对行政执法的监督投诉举报的方式、途径</w:t>
      </w:r>
    </w:p>
    <w:p w14:paraId="1961B6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部门：广元市退役军人事务局权益维护与法规科     </w:t>
      </w:r>
    </w:p>
    <w:p w14:paraId="5BAAE7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地址：广元市利州东路一段681号（广元市退役军人事务局5楼）、投诉电话：0839-3220125。</w:t>
      </w:r>
    </w:p>
    <w:p w14:paraId="34E879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（四）行政执法责任制</w:t>
      </w:r>
    </w:p>
    <w:p w14:paraId="45F7D7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《国务院办公厅关于推行行政执法责任制的若干意见》（国办发〔2005〕37号）</w:t>
      </w:r>
    </w:p>
    <w:p w14:paraId="782ACC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《四川省人民政府办公厅关于深化行政执法责任制的实施意见》（川办发〔2005〕36号）</w:t>
      </w:r>
    </w:p>
    <w:p w14:paraId="39F154E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《四川省落实行政执法责任制全面推进依法行政考核办法》（川府发〔2005〕24号）</w:t>
      </w:r>
    </w:p>
    <w:p w14:paraId="4EF584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《四川省行政执法监督条例》</w:t>
      </w:r>
    </w:p>
    <w:p w14:paraId="56C5E1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《行政机关公务员处分条例》</w:t>
      </w:r>
    </w:p>
    <w:p w14:paraId="418823D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《事业单位工作人员处分暂行规定》</w:t>
      </w:r>
    </w:p>
    <w:p w14:paraId="5A5FA78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十二、广元市退役军人事务局上年度双随机抽查结果、行政许可和处罚决定、上年度本机关行政执法数据总体情况</w:t>
      </w:r>
    </w:p>
    <w:p w14:paraId="7FDDB7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详见网页：</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"https://tyjrj.cngy.gov.cn/gongkai/show/20240115091653376.html"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广元市退役军人事务局2023年度行政执法及行政执法监督情况公示-政府信息公开-广元市退役军人事务局 (cngy.gov.cn)</w:t>
      </w:r>
      <w:r>
        <w:rPr>
          <w:rFonts w:hint="eastAsia" w:ascii="仿宋_GB2312" w:hAnsi="仿宋_GB2312" w:eastAsia="仿宋_GB2312" w:cs="仿宋_GB2312"/>
          <w:sz w:val="32"/>
          <w:szCs w:val="32"/>
          <w:lang w:val="en-US" w:eastAsia="zh-CN"/>
        </w:rPr>
        <w:fldChar w:fldCharType="end"/>
      </w:r>
    </w:p>
    <w:p w14:paraId="1E78E93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网址：https://tyjrj.cngy.gov.cn/gongkai/show/20240115091653376.html</w:t>
      </w:r>
    </w:p>
    <w:p w14:paraId="0B440F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十三、广元市退役军人事务局实行行政执法三项制度方案</w:t>
      </w:r>
    </w:p>
    <w:p w14:paraId="2E9C37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遵照广元市退役军人事务局关于印发《广元市退役军人事务局行政执法公示工作规程》等三项制度的通知进行。</w:t>
      </w:r>
    </w:p>
    <w:p w14:paraId="15D8D642">
      <w:pPr>
        <w:bidi w:val="0"/>
        <w:rPr>
          <w:rFonts w:hint="default"/>
        </w:rPr>
      </w:pPr>
      <w:r>
        <w:rPr>
          <w:lang w:val="en-US" w:eastAsia="zh-CN"/>
        </w:rPr>
        <w:t> </w:t>
      </w:r>
    </w:p>
    <w:p w14:paraId="0666232C">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w:t>
      </w:r>
    </w:p>
    <w:p w14:paraId="569FF470">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广元市退役军人事务局   </w:t>
      </w:r>
    </w:p>
    <w:p w14:paraId="42145BEE">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2024年8月23日    </w:t>
      </w:r>
    </w:p>
    <w:p w14:paraId="16C367AC">
      <w:pPr>
        <w:bidi w:val="0"/>
      </w:pPr>
    </w:p>
    <w:sectPr>
      <w:pgSz w:w="11906" w:h="16838"/>
      <w:pgMar w:top="2098" w:right="1474" w:bottom="1984" w:left="1587"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9D70F"/>
    <w:multiLevelType w:val="singleLevel"/>
    <w:tmpl w:val="DD09D7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lYzliYzRhZmFhZDg4YmQwNWJhN2U2MjdiMDA3NGIifQ=="/>
  </w:docVars>
  <w:rsids>
    <w:rsidRoot w:val="62651FA4"/>
    <w:rsid w:val="00D94872"/>
    <w:rsid w:val="62651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table of figures"/>
    <w:basedOn w:val="1"/>
    <w:next w:val="1"/>
    <w:qFormat/>
    <w:uiPriority w:val="0"/>
    <w:pPr>
      <w:ind w:left="400" w:leftChars="200" w:hanging="200" w:hangingChars="20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18</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2024-08-22T09:21:00Z</dcterms:created>
  <dc:creator>ashl</dc:creator>
  <cp:lastModifiedBy>ashl</cp:lastModifiedBy>
  <dcterms:modified xsi:type="dcterms:W3CDTF">2024-08-23T03:39:22Z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96D7F7AB6C864E7B917BB8462963FF7D_11</vt:lpwstr>
  </property>
</Properties>
</file>