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eastAsia="方正小标宋简体" w:cs="方正小标宋简体"/>
          <w:b w:val="0"/>
          <w:bCs w:val="0"/>
          <w:color w:val="auto"/>
          <w:sz w:val="44"/>
          <w:szCs w:val="44"/>
          <w:lang w:val="en-US" w:eastAsia="zh-CN"/>
        </w:rPr>
      </w:pPr>
      <w:r>
        <w:rPr>
          <w:rFonts w:hint="eastAsia" w:ascii="方正小标宋简体" w:eastAsia="方正小标宋简体" w:cs="方正小标宋简体"/>
          <w:b w:val="0"/>
          <w:bCs w:val="0"/>
          <w:color w:val="auto"/>
          <w:sz w:val="44"/>
          <w:szCs w:val="44"/>
          <w:lang w:val="en-US" w:eastAsia="zh-CN"/>
        </w:rPr>
        <w:t>广元市</w:t>
      </w:r>
      <w:r>
        <w:rPr>
          <w:rFonts w:ascii="方正小标宋简体" w:eastAsia="方正小标宋简体" w:cs="方正小标宋简体"/>
          <w:b w:val="0"/>
          <w:bCs w:val="0"/>
          <w:color w:val="auto"/>
          <w:sz w:val="44"/>
          <w:szCs w:val="44"/>
          <w:lang w:val="en-US" w:eastAsia="zh-CN"/>
        </w:rPr>
        <w:t>经济和信息化局</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eastAsia="方正小标宋简体" w:cs="方正小标宋简体"/>
          <w:b w:val="0"/>
          <w:bCs w:val="0"/>
          <w:color w:val="auto"/>
          <w:sz w:val="44"/>
          <w:szCs w:val="44"/>
          <w:lang w:val="en-US" w:eastAsia="zh-CN"/>
        </w:rPr>
      </w:pPr>
      <w:r>
        <w:rPr>
          <w:rFonts w:hint="eastAsia" w:ascii="方正小标宋简体" w:eastAsia="方正小标宋简体" w:cs="方正小标宋简体"/>
          <w:b w:val="0"/>
          <w:bCs w:val="0"/>
          <w:color w:val="auto"/>
          <w:sz w:val="44"/>
          <w:szCs w:val="44"/>
          <w:lang w:val="en-US" w:eastAsia="zh-CN"/>
        </w:rPr>
        <w:t>行政执法集中公示目录</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eastAsia="仿宋_GB2312" w:cs="仿宋_GB2312"/>
          <w:b w:val="0"/>
          <w:bCs w:val="0"/>
          <w:color w:val="auto"/>
          <w:sz w:val="32"/>
          <w:szCs w:val="32"/>
          <w:lang w:val="en-US" w:eastAsia="zh-CN"/>
        </w:rPr>
      </w:pPr>
      <w:r>
        <w:rPr>
          <w:rFonts w:hint="eastAsia" w:ascii="仿宋_GB2312" w:eastAsia="仿宋_GB2312" w:cs="仿宋_GB2312"/>
          <w:b w:val="0"/>
          <w:bCs w:val="0"/>
          <w:color w:val="auto"/>
          <w:sz w:val="32"/>
          <w:szCs w:val="32"/>
          <w:lang w:val="en-US" w:eastAsia="zh-CN"/>
        </w:rPr>
        <w:t>一、广元市</w:t>
      </w:r>
      <w:r>
        <w:rPr>
          <w:rFonts w:ascii="仿宋_GB2312" w:eastAsia="仿宋_GB2312" w:cs="仿宋_GB2312"/>
          <w:b w:val="0"/>
          <w:bCs w:val="0"/>
          <w:color w:val="auto"/>
          <w:sz w:val="32"/>
          <w:szCs w:val="32"/>
          <w:lang w:val="en-US" w:eastAsia="zh-CN"/>
        </w:rPr>
        <w:t>经济和信息化</w:t>
      </w:r>
      <w:r>
        <w:rPr>
          <w:rFonts w:hint="eastAsia" w:ascii="仿宋_GB2312" w:eastAsia="仿宋_GB2312" w:cs="仿宋_GB2312"/>
          <w:b w:val="0"/>
          <w:bCs w:val="0"/>
          <w:color w:val="auto"/>
          <w:sz w:val="32"/>
          <w:szCs w:val="32"/>
          <w:lang w:val="en-US" w:eastAsia="zh-CN"/>
        </w:rPr>
        <w:t>局行政执法</w:t>
      </w:r>
      <w:r>
        <w:rPr>
          <w:rFonts w:hint="eastAsia" w:ascii="仿宋_GB2312" w:cs="仿宋_GB2312"/>
          <w:b w:val="0"/>
          <w:bCs w:val="0"/>
          <w:color w:val="auto"/>
          <w:sz w:val="32"/>
          <w:szCs w:val="32"/>
          <w:lang w:val="en-US" w:eastAsia="zh-CN"/>
        </w:rPr>
        <w:t>三项制度</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eastAsia="仿宋_GB2312" w:cs="仿宋_GB2312"/>
          <w:b w:val="0"/>
          <w:bCs w:val="0"/>
          <w:color w:val="auto"/>
          <w:sz w:val="32"/>
          <w:szCs w:val="32"/>
          <w:lang w:val="en-US" w:eastAsia="zh-CN"/>
        </w:rPr>
      </w:pPr>
      <w:r>
        <w:rPr>
          <w:rFonts w:hint="eastAsia" w:ascii="仿宋_GB2312" w:eastAsia="仿宋_GB2312" w:cs="仿宋_GB2312"/>
          <w:b w:val="0"/>
          <w:bCs w:val="0"/>
          <w:color w:val="auto"/>
          <w:sz w:val="32"/>
          <w:szCs w:val="32"/>
          <w:lang w:val="en-US" w:eastAsia="zh-CN"/>
        </w:rPr>
        <w:t>二、广元市</w:t>
      </w:r>
      <w:r>
        <w:rPr>
          <w:rFonts w:ascii="仿宋_GB2312" w:eastAsia="仿宋_GB2312" w:cs="仿宋_GB2312"/>
          <w:b w:val="0"/>
          <w:bCs w:val="0"/>
          <w:color w:val="auto"/>
          <w:sz w:val="32"/>
          <w:szCs w:val="32"/>
          <w:lang w:val="en-US" w:eastAsia="zh-CN"/>
        </w:rPr>
        <w:t>经济和信息化</w:t>
      </w:r>
      <w:r>
        <w:rPr>
          <w:rFonts w:hint="eastAsia" w:ascii="仿宋_GB2312" w:eastAsia="仿宋_GB2312" w:cs="仿宋_GB2312"/>
          <w:b w:val="0"/>
          <w:bCs w:val="0"/>
          <w:color w:val="auto"/>
          <w:sz w:val="32"/>
          <w:szCs w:val="32"/>
          <w:lang w:val="en-US" w:eastAsia="zh-CN"/>
        </w:rPr>
        <w:t>局行政执法</w:t>
      </w:r>
      <w:r>
        <w:rPr>
          <w:rFonts w:hint="eastAsia" w:ascii="仿宋_GB2312" w:cs="仿宋_GB2312"/>
          <w:b w:val="0"/>
          <w:bCs w:val="0"/>
          <w:color w:val="auto"/>
          <w:sz w:val="32"/>
          <w:szCs w:val="32"/>
          <w:lang w:val="en-US" w:eastAsia="zh-CN"/>
        </w:rPr>
        <w:t>主体、执法</w:t>
      </w:r>
      <w:r>
        <w:rPr>
          <w:rFonts w:hint="eastAsia" w:ascii="仿宋_GB2312" w:eastAsia="仿宋_GB2312" w:cs="仿宋_GB2312"/>
          <w:b w:val="0"/>
          <w:bCs w:val="0"/>
          <w:color w:val="auto"/>
          <w:sz w:val="32"/>
          <w:szCs w:val="32"/>
          <w:lang w:val="en-US" w:eastAsia="zh-CN"/>
        </w:rPr>
        <w:t>人员</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eastAsia="仿宋_GB2312" w:cs="仿宋_GB2312"/>
          <w:b w:val="0"/>
          <w:bCs w:val="0"/>
          <w:color w:val="auto"/>
          <w:sz w:val="32"/>
          <w:szCs w:val="32"/>
          <w:lang w:val="en-US" w:eastAsia="zh-CN"/>
        </w:rPr>
      </w:pPr>
      <w:r>
        <w:rPr>
          <w:rFonts w:hint="eastAsia" w:ascii="仿宋_GB2312" w:eastAsia="仿宋_GB2312" w:cs="仿宋_GB2312"/>
          <w:b w:val="0"/>
          <w:bCs w:val="0"/>
          <w:color w:val="auto"/>
          <w:sz w:val="32"/>
          <w:szCs w:val="32"/>
          <w:lang w:val="en-US" w:eastAsia="zh-CN"/>
        </w:rPr>
        <w:t>三、广元市</w:t>
      </w:r>
      <w:r>
        <w:rPr>
          <w:rFonts w:ascii="仿宋_GB2312" w:eastAsia="仿宋_GB2312" w:cs="仿宋_GB2312"/>
          <w:b w:val="0"/>
          <w:bCs w:val="0"/>
          <w:color w:val="auto"/>
          <w:sz w:val="32"/>
          <w:szCs w:val="32"/>
          <w:lang w:val="en-US" w:eastAsia="zh-CN"/>
        </w:rPr>
        <w:t>经济和信息化</w:t>
      </w:r>
      <w:r>
        <w:rPr>
          <w:rFonts w:hint="eastAsia" w:ascii="仿宋_GB2312" w:eastAsia="仿宋_GB2312" w:cs="仿宋_GB2312"/>
          <w:b w:val="0"/>
          <w:bCs w:val="0"/>
          <w:color w:val="auto"/>
          <w:sz w:val="32"/>
          <w:szCs w:val="32"/>
          <w:lang w:val="en-US" w:eastAsia="zh-CN"/>
        </w:rPr>
        <w:t>局行政权力</w:t>
      </w:r>
      <w:r>
        <w:rPr>
          <w:rFonts w:hint="eastAsia" w:ascii="仿宋_GB2312" w:cs="仿宋_GB2312"/>
          <w:b w:val="0"/>
          <w:bCs w:val="0"/>
          <w:color w:val="auto"/>
          <w:sz w:val="32"/>
          <w:szCs w:val="32"/>
          <w:lang w:val="en-US" w:eastAsia="zh-CN"/>
        </w:rPr>
        <w:t>和</w:t>
      </w:r>
      <w:r>
        <w:rPr>
          <w:rFonts w:hint="eastAsia" w:ascii="仿宋_GB2312" w:eastAsia="仿宋_GB2312" w:cs="仿宋_GB2312"/>
          <w:b w:val="0"/>
          <w:bCs w:val="0"/>
          <w:color w:val="auto"/>
          <w:sz w:val="32"/>
          <w:szCs w:val="32"/>
          <w:lang w:val="en-US" w:eastAsia="zh-CN"/>
        </w:rPr>
        <w:t>责任清单</w:t>
      </w:r>
    </w:p>
    <w:p>
      <w:pPr>
        <w:pStyle w:val="2"/>
        <w:rPr>
          <w:rFonts w:hint="default"/>
          <w:color w:val="auto"/>
          <w:lang w:val="en-US" w:eastAsia="zh-CN"/>
        </w:rPr>
      </w:pPr>
      <w:r>
        <w:rPr>
          <w:rFonts w:hint="eastAsia" w:ascii="仿宋_GB2312" w:eastAsia="仿宋_GB2312" w:cs="仿宋_GB2312"/>
          <w:b w:val="0"/>
          <w:bCs w:val="0"/>
          <w:color w:val="auto"/>
          <w:sz w:val="32"/>
          <w:szCs w:val="32"/>
          <w:lang w:val="en-US" w:eastAsia="zh-CN"/>
        </w:rPr>
        <w:t xml:space="preserve">    四、广元市经济和信息化局行政执法事项目录</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eastAsia="仿宋_GB2312" w:cs="仿宋_GB2312"/>
          <w:b w:val="0"/>
          <w:bCs w:val="0"/>
          <w:color w:val="auto"/>
          <w:sz w:val="32"/>
          <w:szCs w:val="32"/>
          <w:lang w:val="en-US" w:eastAsia="zh-CN"/>
        </w:rPr>
      </w:pPr>
      <w:r>
        <w:rPr>
          <w:rFonts w:hint="eastAsia" w:ascii="仿宋_GB2312" w:cs="仿宋_GB2312"/>
          <w:b w:val="0"/>
          <w:bCs w:val="0"/>
          <w:color w:val="auto"/>
          <w:sz w:val="32"/>
          <w:szCs w:val="32"/>
          <w:lang w:val="en-US" w:eastAsia="zh-CN"/>
        </w:rPr>
        <w:t>五</w:t>
      </w:r>
      <w:r>
        <w:rPr>
          <w:rFonts w:hint="eastAsia" w:ascii="仿宋_GB2312" w:eastAsia="仿宋_GB2312" w:cs="仿宋_GB2312"/>
          <w:b w:val="0"/>
          <w:bCs w:val="0"/>
          <w:color w:val="auto"/>
          <w:sz w:val="32"/>
          <w:szCs w:val="32"/>
          <w:lang w:val="en-US" w:eastAsia="zh-CN"/>
        </w:rPr>
        <w:t>、广元市</w:t>
      </w:r>
      <w:r>
        <w:rPr>
          <w:rFonts w:ascii="仿宋_GB2312" w:eastAsia="仿宋_GB2312" w:cs="仿宋_GB2312"/>
          <w:b w:val="0"/>
          <w:bCs w:val="0"/>
          <w:color w:val="auto"/>
          <w:sz w:val="32"/>
          <w:szCs w:val="32"/>
          <w:lang w:val="en-US" w:eastAsia="zh-CN"/>
        </w:rPr>
        <w:t>经济和信息化</w:t>
      </w:r>
      <w:r>
        <w:rPr>
          <w:rFonts w:hint="eastAsia" w:ascii="仿宋_GB2312" w:eastAsia="仿宋_GB2312" w:cs="仿宋_GB2312"/>
          <w:b w:val="0"/>
          <w:bCs w:val="0"/>
          <w:color w:val="auto"/>
          <w:sz w:val="32"/>
          <w:szCs w:val="32"/>
          <w:lang w:val="en-US" w:eastAsia="zh-CN"/>
        </w:rPr>
        <w:t>局行政执法自由裁量标准</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eastAsia="仿宋_GB2312" w:cs="仿宋_GB2312"/>
          <w:b w:val="0"/>
          <w:bCs w:val="0"/>
          <w:color w:val="auto"/>
          <w:sz w:val="32"/>
          <w:szCs w:val="32"/>
          <w:lang w:val="en-US" w:eastAsia="zh-CN"/>
        </w:rPr>
      </w:pPr>
      <w:r>
        <w:rPr>
          <w:rFonts w:hint="eastAsia" w:ascii="仿宋_GB2312" w:cs="仿宋_GB2312"/>
          <w:b w:val="0"/>
          <w:bCs w:val="0"/>
          <w:color w:val="auto"/>
          <w:sz w:val="32"/>
          <w:szCs w:val="32"/>
          <w:lang w:val="en-US" w:eastAsia="zh-CN"/>
        </w:rPr>
        <w:t>六</w:t>
      </w:r>
      <w:r>
        <w:rPr>
          <w:rFonts w:hint="eastAsia" w:ascii="仿宋_GB2312" w:eastAsia="仿宋_GB2312" w:cs="仿宋_GB2312"/>
          <w:b w:val="0"/>
          <w:bCs w:val="0"/>
          <w:color w:val="auto"/>
          <w:sz w:val="32"/>
          <w:szCs w:val="32"/>
          <w:lang w:val="en-US" w:eastAsia="zh-CN"/>
        </w:rPr>
        <w:t>、广元市</w:t>
      </w:r>
      <w:r>
        <w:rPr>
          <w:rFonts w:ascii="仿宋_GB2312" w:eastAsia="仿宋_GB2312" w:cs="仿宋_GB2312"/>
          <w:b w:val="0"/>
          <w:bCs w:val="0"/>
          <w:color w:val="auto"/>
          <w:sz w:val="32"/>
          <w:szCs w:val="32"/>
          <w:lang w:val="en-US" w:eastAsia="zh-CN"/>
        </w:rPr>
        <w:t>经济和信息化</w:t>
      </w:r>
      <w:r>
        <w:rPr>
          <w:rFonts w:hint="eastAsia" w:ascii="仿宋_GB2312" w:eastAsia="仿宋_GB2312" w:cs="仿宋_GB2312"/>
          <w:b w:val="0"/>
          <w:bCs w:val="0"/>
          <w:color w:val="auto"/>
          <w:sz w:val="32"/>
          <w:szCs w:val="32"/>
          <w:lang w:val="en-US" w:eastAsia="zh-CN"/>
        </w:rPr>
        <w:t>局重大行政执法</w:t>
      </w:r>
      <w:r>
        <w:rPr>
          <w:rFonts w:ascii="仿宋_GB2312" w:eastAsia="仿宋_GB2312" w:cs="仿宋_GB2312"/>
          <w:b w:val="0"/>
          <w:bCs w:val="0"/>
          <w:color w:val="auto"/>
          <w:sz w:val="32"/>
          <w:szCs w:val="32"/>
          <w:lang w:val="en-US" w:eastAsia="zh-CN"/>
        </w:rPr>
        <w:t>决定</w:t>
      </w:r>
      <w:r>
        <w:rPr>
          <w:rFonts w:hint="eastAsia" w:ascii="仿宋_GB2312" w:eastAsia="仿宋_GB2312" w:cs="仿宋_GB2312"/>
          <w:b w:val="0"/>
          <w:bCs w:val="0"/>
          <w:color w:val="auto"/>
          <w:sz w:val="32"/>
          <w:szCs w:val="32"/>
          <w:lang w:val="en-US" w:eastAsia="zh-CN"/>
        </w:rPr>
        <w:t>审核目录清单</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eastAsia="仿宋_GB2312" w:cs="仿宋_GB2312"/>
          <w:b w:val="0"/>
          <w:bCs w:val="0"/>
          <w:color w:val="auto"/>
          <w:sz w:val="32"/>
          <w:szCs w:val="32"/>
          <w:lang w:val="en-US" w:eastAsia="zh-CN"/>
        </w:rPr>
      </w:pPr>
      <w:r>
        <w:rPr>
          <w:rFonts w:hint="eastAsia" w:ascii="仿宋_GB2312" w:cs="仿宋_GB2312"/>
          <w:b w:val="0"/>
          <w:bCs w:val="0"/>
          <w:color w:val="auto"/>
          <w:sz w:val="32"/>
          <w:szCs w:val="32"/>
          <w:lang w:val="en-US" w:eastAsia="zh-CN"/>
        </w:rPr>
        <w:t>七</w:t>
      </w:r>
      <w:r>
        <w:rPr>
          <w:rFonts w:hint="eastAsia" w:ascii="仿宋_GB2312" w:eastAsia="仿宋_GB2312" w:cs="仿宋_GB2312"/>
          <w:b w:val="0"/>
          <w:bCs w:val="0"/>
          <w:color w:val="auto"/>
          <w:sz w:val="32"/>
          <w:szCs w:val="32"/>
          <w:lang w:val="en-US" w:eastAsia="zh-CN"/>
        </w:rPr>
        <w:t>、广元市</w:t>
      </w:r>
      <w:r>
        <w:rPr>
          <w:rFonts w:ascii="仿宋_GB2312" w:eastAsia="仿宋_GB2312" w:cs="仿宋_GB2312"/>
          <w:b w:val="0"/>
          <w:bCs w:val="0"/>
          <w:color w:val="auto"/>
          <w:sz w:val="32"/>
          <w:szCs w:val="32"/>
          <w:lang w:val="en-US" w:eastAsia="zh-CN"/>
        </w:rPr>
        <w:t>经济和信息化</w:t>
      </w:r>
      <w:r>
        <w:rPr>
          <w:rFonts w:hint="eastAsia" w:ascii="仿宋_GB2312" w:eastAsia="仿宋_GB2312" w:cs="仿宋_GB2312"/>
          <w:b w:val="0"/>
          <w:bCs w:val="0"/>
          <w:color w:val="auto"/>
          <w:sz w:val="32"/>
          <w:szCs w:val="32"/>
          <w:lang w:val="en-US" w:eastAsia="zh-CN"/>
        </w:rPr>
        <w:t>局随机抽查事项清单、市场主体库、</w:t>
      </w:r>
      <w:r>
        <w:rPr>
          <w:rFonts w:hint="eastAsia" w:ascii="仿宋_GB2312" w:cs="仿宋_GB2312"/>
          <w:b w:val="0"/>
          <w:bCs w:val="0"/>
          <w:color w:val="auto"/>
          <w:sz w:val="32"/>
          <w:szCs w:val="32"/>
          <w:lang w:val="en-US" w:eastAsia="zh-CN"/>
        </w:rPr>
        <w:t>202</w:t>
      </w:r>
      <w:r>
        <w:rPr>
          <w:rFonts w:hint="default" w:ascii="仿宋_GB2312" w:cs="仿宋_GB2312"/>
          <w:b w:val="0"/>
          <w:bCs w:val="0"/>
          <w:color w:val="auto"/>
          <w:sz w:val="32"/>
          <w:szCs w:val="32"/>
          <w:lang w:val="en-US" w:eastAsia="zh-CN"/>
        </w:rPr>
        <w:t>4</w:t>
      </w:r>
      <w:r>
        <w:rPr>
          <w:rFonts w:hint="eastAsia" w:ascii="仿宋_GB2312" w:eastAsia="仿宋_GB2312" w:cs="仿宋_GB2312"/>
          <w:b w:val="0"/>
          <w:bCs w:val="0"/>
          <w:color w:val="auto"/>
          <w:sz w:val="32"/>
          <w:szCs w:val="32"/>
          <w:lang w:val="en-US" w:eastAsia="zh-CN"/>
        </w:rPr>
        <w:t>年抽查计划</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eastAsia="仿宋_GB2312" w:cs="仿宋_GB2312"/>
          <w:b w:val="0"/>
          <w:bCs w:val="0"/>
          <w:color w:val="auto"/>
          <w:sz w:val="32"/>
          <w:szCs w:val="32"/>
          <w:lang w:val="en-US" w:eastAsia="zh-CN"/>
        </w:rPr>
      </w:pPr>
      <w:r>
        <w:rPr>
          <w:rFonts w:hint="eastAsia" w:ascii="仿宋_GB2312" w:cs="仿宋_GB2312"/>
          <w:b w:val="0"/>
          <w:bCs w:val="0"/>
          <w:color w:val="auto"/>
          <w:sz w:val="32"/>
          <w:szCs w:val="32"/>
          <w:lang w:val="en-US" w:eastAsia="zh-CN"/>
        </w:rPr>
        <w:t>八</w:t>
      </w:r>
      <w:r>
        <w:rPr>
          <w:rFonts w:hint="eastAsia" w:ascii="仿宋_GB2312" w:eastAsia="仿宋_GB2312" w:cs="仿宋_GB2312"/>
          <w:b w:val="0"/>
          <w:bCs w:val="0"/>
          <w:color w:val="auto"/>
          <w:sz w:val="32"/>
          <w:szCs w:val="32"/>
          <w:lang w:val="en-US" w:eastAsia="zh-CN"/>
        </w:rPr>
        <w:t>、广元市</w:t>
      </w:r>
      <w:r>
        <w:rPr>
          <w:rFonts w:ascii="仿宋_GB2312" w:eastAsia="仿宋_GB2312" w:cs="仿宋_GB2312"/>
          <w:b w:val="0"/>
          <w:bCs w:val="0"/>
          <w:color w:val="auto"/>
          <w:sz w:val="32"/>
          <w:szCs w:val="32"/>
          <w:lang w:val="en-US" w:eastAsia="zh-CN"/>
        </w:rPr>
        <w:t>经济和信息化</w:t>
      </w:r>
      <w:r>
        <w:rPr>
          <w:rFonts w:hint="eastAsia" w:ascii="仿宋_GB2312" w:eastAsia="仿宋_GB2312" w:cs="仿宋_GB2312"/>
          <w:b w:val="0"/>
          <w:bCs w:val="0"/>
          <w:color w:val="auto"/>
          <w:sz w:val="32"/>
          <w:szCs w:val="32"/>
          <w:lang w:val="en-US" w:eastAsia="zh-CN"/>
        </w:rPr>
        <w:t>局行政执法文书样式</w:t>
      </w:r>
    </w:p>
    <w:p>
      <w:pPr>
        <w:keepNext w:val="0"/>
        <w:keepLines w:val="0"/>
        <w:pageBreakBefore w:val="0"/>
        <w:widowControl w:val="0"/>
        <w:kinsoku/>
        <w:wordWrap/>
        <w:overflowPunct/>
        <w:topLinePunct w:val="0"/>
        <w:autoSpaceDE/>
        <w:autoSpaceDN/>
        <w:adjustRightInd/>
        <w:snapToGrid/>
        <w:spacing w:line="576" w:lineRule="exact"/>
        <w:ind w:left="0" w:firstLine="640" w:firstLineChars="200"/>
        <w:rPr>
          <w:rFonts w:ascii="仿宋_GB2312" w:eastAsia="仿宋_GB2312" w:cs="仿宋_GB2312"/>
          <w:b w:val="0"/>
          <w:bCs w:val="0"/>
          <w:color w:val="auto"/>
          <w:sz w:val="32"/>
          <w:szCs w:val="32"/>
          <w:lang w:val="en-US" w:eastAsia="zh-CN"/>
        </w:rPr>
      </w:pPr>
      <w:r>
        <w:rPr>
          <w:rFonts w:hint="eastAsia" w:ascii="仿宋_GB2312" w:cs="仿宋_GB2312"/>
          <w:b w:val="0"/>
          <w:bCs w:val="0"/>
          <w:color w:val="auto"/>
          <w:sz w:val="32"/>
          <w:szCs w:val="32"/>
          <w:lang w:val="en-US" w:eastAsia="zh-CN"/>
        </w:rPr>
        <w:t>九</w:t>
      </w:r>
      <w:r>
        <w:rPr>
          <w:rFonts w:hint="eastAsia" w:ascii="仿宋_GB2312" w:eastAsia="仿宋_GB2312" w:cs="仿宋_GB2312"/>
          <w:b w:val="0"/>
          <w:bCs w:val="0"/>
          <w:color w:val="auto"/>
          <w:sz w:val="32"/>
          <w:szCs w:val="32"/>
          <w:lang w:val="en-US" w:eastAsia="zh-CN"/>
        </w:rPr>
        <w:t>、广元市经济和信息化局上年度双随机抽查结果、行政许可和处罚决定、上年度本机关行政执法数据总体情况</w:t>
      </w:r>
    </w:p>
    <w:p>
      <w:pPr>
        <w:keepNext w:val="0"/>
        <w:keepLines w:val="0"/>
        <w:pageBreakBefore w:val="0"/>
        <w:widowControl w:val="0"/>
        <w:kinsoku/>
        <w:wordWrap/>
        <w:overflowPunct/>
        <w:topLinePunct w:val="0"/>
        <w:autoSpaceDE/>
        <w:autoSpaceDN/>
        <w:adjustRightInd/>
        <w:snapToGrid/>
        <w:spacing w:line="576" w:lineRule="exact"/>
        <w:ind w:left="0" w:firstLine="640" w:firstLineChars="200"/>
        <w:rPr>
          <w:rFonts w:hint="eastAsia" w:ascii="仿宋_GB2312" w:eastAsia="仿宋_GB2312" w:cs="仿宋_GB2312"/>
          <w:b w:val="0"/>
          <w:bCs w:val="0"/>
          <w:color w:val="auto"/>
          <w:sz w:val="32"/>
          <w:szCs w:val="32"/>
          <w:lang w:val="en-US" w:eastAsia="zh-CN"/>
        </w:rPr>
      </w:pPr>
      <w:r>
        <w:rPr>
          <w:rFonts w:hint="eastAsia" w:ascii="仿宋_GB2312" w:cs="仿宋_GB2312"/>
          <w:b w:val="0"/>
          <w:bCs w:val="0"/>
          <w:color w:val="auto"/>
          <w:sz w:val="32"/>
          <w:szCs w:val="32"/>
          <w:lang w:val="en-US" w:eastAsia="zh-CN"/>
        </w:rPr>
        <w:t>十</w:t>
      </w:r>
      <w:r>
        <w:rPr>
          <w:rFonts w:hint="eastAsia" w:ascii="仿宋_GB2312" w:eastAsia="仿宋_GB2312" w:cs="仿宋_GB2312"/>
          <w:b w:val="0"/>
          <w:bCs w:val="0"/>
          <w:color w:val="auto"/>
          <w:sz w:val="32"/>
          <w:szCs w:val="32"/>
          <w:lang w:val="en-US" w:eastAsia="zh-CN"/>
        </w:rPr>
        <w:t>、广元市</w:t>
      </w:r>
      <w:r>
        <w:rPr>
          <w:rFonts w:ascii="仿宋_GB2312" w:eastAsia="仿宋_GB2312" w:cs="仿宋_GB2312"/>
          <w:b w:val="0"/>
          <w:bCs w:val="0"/>
          <w:color w:val="auto"/>
          <w:sz w:val="32"/>
          <w:szCs w:val="32"/>
          <w:lang w:val="en-US" w:eastAsia="zh-CN"/>
        </w:rPr>
        <w:t>经济和信息化</w:t>
      </w:r>
      <w:r>
        <w:rPr>
          <w:rFonts w:hint="eastAsia" w:ascii="仿宋_GB2312" w:eastAsia="仿宋_GB2312" w:cs="仿宋_GB2312"/>
          <w:b w:val="0"/>
          <w:bCs w:val="0"/>
          <w:color w:val="auto"/>
          <w:sz w:val="32"/>
          <w:szCs w:val="32"/>
          <w:lang w:val="en-US" w:eastAsia="zh-CN"/>
        </w:rPr>
        <w:t>局分类检查事项目录</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eastAsia="仿宋_GB2312" w:cs="仿宋_GB2312"/>
          <w:b w:val="0"/>
          <w:bCs w:val="0"/>
          <w:color w:val="auto"/>
          <w:sz w:val="32"/>
          <w:szCs w:val="32"/>
          <w:lang w:val="en-US" w:eastAsia="zh-CN"/>
        </w:rPr>
      </w:pPr>
      <w:r>
        <w:rPr>
          <w:rFonts w:hint="eastAsia" w:ascii="仿宋_GB2312" w:eastAsia="仿宋_GB2312" w:cs="仿宋_GB2312"/>
          <w:b w:val="0"/>
          <w:bCs w:val="0"/>
          <w:color w:val="auto"/>
          <w:sz w:val="32"/>
          <w:szCs w:val="32"/>
          <w:lang w:val="en-US" w:eastAsia="zh-CN"/>
        </w:rPr>
        <w:t>十</w:t>
      </w:r>
      <w:r>
        <w:rPr>
          <w:rFonts w:hint="eastAsia" w:ascii="仿宋_GB2312" w:cs="仿宋_GB2312"/>
          <w:b w:val="0"/>
          <w:bCs w:val="0"/>
          <w:color w:val="auto"/>
          <w:sz w:val="32"/>
          <w:szCs w:val="32"/>
          <w:lang w:val="en-US" w:eastAsia="zh-CN"/>
        </w:rPr>
        <w:t>一</w:t>
      </w:r>
      <w:r>
        <w:rPr>
          <w:rFonts w:hint="eastAsia" w:ascii="仿宋_GB2312" w:eastAsia="仿宋_GB2312" w:cs="仿宋_GB2312"/>
          <w:b w:val="0"/>
          <w:bCs w:val="0"/>
          <w:color w:val="auto"/>
          <w:sz w:val="32"/>
          <w:szCs w:val="32"/>
          <w:lang w:val="en-US" w:eastAsia="zh-CN"/>
        </w:rPr>
        <w:t>、广元市经济和信息化局不予处罚、免予处罚事项清单</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eastAsia="仿宋_GB2312" w:cs="仿宋_GB2312"/>
          <w:b w:val="0"/>
          <w:bCs w:val="0"/>
          <w:color w:val="auto"/>
          <w:sz w:val="32"/>
          <w:szCs w:val="32"/>
          <w:lang w:val="en-US" w:eastAsia="zh-CN"/>
        </w:rPr>
      </w:pPr>
    </w:p>
    <w:p>
      <w:pPr>
        <w:pStyle w:val="2"/>
        <w:rPr>
          <w:rFonts w:hint="eastAsia" w:ascii="仿宋_GB2312" w:eastAsia="仿宋_GB2312" w:cs="仿宋_GB2312"/>
          <w:b w:val="0"/>
          <w:bCs w:val="0"/>
          <w:color w:val="auto"/>
          <w:sz w:val="32"/>
          <w:szCs w:val="32"/>
          <w:lang w:val="en-US" w:eastAsia="zh-CN"/>
        </w:rPr>
      </w:pPr>
    </w:p>
    <w:p>
      <w:pPr>
        <w:rPr>
          <w:rFonts w:hint="eastAsia"/>
          <w:color w:val="auto"/>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eastAsia="方正小标宋简体" w:cs="方正小标宋简体"/>
          <w:b w:val="0"/>
          <w:bCs w:val="0"/>
          <w:color w:val="auto"/>
          <w:sz w:val="44"/>
          <w:szCs w:val="44"/>
          <w:lang w:val="en-US" w:eastAsia="zh-CN"/>
        </w:rPr>
      </w:pPr>
      <w:r>
        <w:rPr>
          <w:rFonts w:ascii="方正小标宋简体" w:eastAsia="方正小标宋简体" w:cs="方正小标宋简体"/>
          <w:b w:val="0"/>
          <w:bCs w:val="0"/>
          <w:color w:val="auto"/>
          <w:sz w:val="44"/>
          <w:szCs w:val="44"/>
          <w:lang w:val="en-US" w:eastAsia="zh-CN"/>
        </w:rPr>
        <w:t>广元市经济和信息化局</w:t>
      </w:r>
      <w:r>
        <w:rPr>
          <w:rFonts w:hint="eastAsia" w:ascii="方正小标宋简体" w:eastAsia="方正小标宋简体" w:cs="方正小标宋简体"/>
          <w:b w:val="0"/>
          <w:bCs w:val="0"/>
          <w:color w:val="auto"/>
          <w:sz w:val="44"/>
          <w:szCs w:val="44"/>
          <w:lang w:val="en-US" w:eastAsia="zh-CN"/>
        </w:rPr>
        <w:t>行政执法集中内容公示</w:t>
      </w:r>
    </w:p>
    <w:p>
      <w:pPr>
        <w:pStyle w:val="11"/>
        <w:rPr>
          <w:rFonts w:hint="eastAsia"/>
          <w:color w:val="auto"/>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right="0" w:firstLine="616" w:firstLineChars="200"/>
        <w:jc w:val="both"/>
        <w:textAlignment w:val="auto"/>
        <w:rPr>
          <w:rFonts w:hint="eastAsia" w:ascii="黑体" w:eastAsia="黑体" w:cs="黑体"/>
          <w:b w:val="0"/>
          <w:bCs w:val="0"/>
          <w:color w:val="auto"/>
          <w:spacing w:val="-6"/>
          <w:sz w:val="32"/>
          <w:szCs w:val="32"/>
          <w:lang w:val="en-US" w:eastAsia="zh-CN"/>
        </w:rPr>
      </w:pPr>
      <w:r>
        <w:rPr>
          <w:rFonts w:hint="eastAsia" w:ascii="黑体" w:eastAsia="黑体" w:cs="黑体"/>
          <w:b w:val="0"/>
          <w:bCs w:val="0"/>
          <w:color w:val="auto"/>
          <w:spacing w:val="-6"/>
          <w:sz w:val="32"/>
          <w:szCs w:val="32"/>
          <w:lang w:val="en-US" w:eastAsia="zh-CN"/>
        </w:rPr>
        <w:t>一、广元市</w:t>
      </w:r>
      <w:r>
        <w:rPr>
          <w:rFonts w:ascii="黑体" w:eastAsia="黑体" w:cs="黑体"/>
          <w:b w:val="0"/>
          <w:bCs w:val="0"/>
          <w:color w:val="auto"/>
          <w:spacing w:val="-6"/>
          <w:sz w:val="32"/>
          <w:szCs w:val="32"/>
          <w:lang w:val="en-US" w:eastAsia="zh-CN"/>
        </w:rPr>
        <w:t>经济和信息化局</w:t>
      </w:r>
      <w:r>
        <w:rPr>
          <w:rFonts w:hint="eastAsia" w:ascii="黑体" w:eastAsia="黑体" w:cs="黑体"/>
          <w:b w:val="0"/>
          <w:bCs w:val="0"/>
          <w:color w:val="auto"/>
          <w:spacing w:val="-6"/>
          <w:sz w:val="32"/>
          <w:szCs w:val="32"/>
          <w:lang w:val="en-US" w:eastAsia="zh-CN"/>
        </w:rPr>
        <w:t>行政执法三项制度</w:t>
      </w:r>
    </w:p>
    <w:p>
      <w:pPr>
        <w:keepNext w:val="0"/>
        <w:keepLines w:val="0"/>
        <w:pageBreakBefore w:val="0"/>
        <w:widowControl w:val="0"/>
        <w:kinsoku/>
        <w:wordWrap/>
        <w:overflowPunct/>
        <w:topLinePunct w:val="0"/>
        <w:autoSpaceDE/>
        <w:autoSpaceDN/>
        <w:bidi w:val="0"/>
        <w:adjustRightInd/>
        <w:snapToGrid/>
        <w:spacing w:line="576" w:lineRule="exact"/>
        <w:ind w:left="0" w:right="0" w:firstLine="616" w:firstLineChars="200"/>
        <w:jc w:val="both"/>
        <w:textAlignment w:val="auto"/>
        <w:rPr>
          <w:rFonts w:ascii="仿宋_GB2312" w:cs="仿宋_GB2312"/>
          <w:color w:val="auto"/>
          <w:spacing w:val="-6"/>
          <w:kern w:val="0"/>
          <w:sz w:val="32"/>
          <w:szCs w:val="32"/>
          <w:lang w:val="en-US" w:eastAsia="zh-CN"/>
        </w:rPr>
      </w:pPr>
      <w:r>
        <w:rPr>
          <w:rFonts w:hint="eastAsia" w:ascii="仿宋_GB2312" w:cs="仿宋_GB2312"/>
          <w:color w:val="auto"/>
          <w:spacing w:val="-6"/>
          <w:kern w:val="0"/>
          <w:sz w:val="32"/>
          <w:szCs w:val="32"/>
          <w:lang w:val="en-US" w:eastAsia="zh-CN"/>
        </w:rPr>
        <w:t>广元市经济和信息化局关于印发《行政执法公示制度》《执法全过程记录制度》《重大执法决定法制审核制度》的通知</w:t>
      </w:r>
    </w:p>
    <w:p>
      <w:pPr>
        <w:keepNext w:val="0"/>
        <w:keepLines w:val="0"/>
        <w:pageBreakBefore w:val="0"/>
        <w:widowControl w:val="0"/>
        <w:kinsoku/>
        <w:wordWrap/>
        <w:overflowPunct/>
        <w:topLinePunct w:val="0"/>
        <w:autoSpaceDE/>
        <w:autoSpaceDN/>
        <w:bidi w:val="0"/>
        <w:adjustRightInd/>
        <w:snapToGrid/>
        <w:spacing w:line="576" w:lineRule="exact"/>
        <w:ind w:left="0" w:right="0" w:firstLine="616" w:firstLineChars="200"/>
        <w:jc w:val="both"/>
        <w:textAlignment w:val="auto"/>
        <w:rPr>
          <w:rFonts w:ascii="仿宋_GB2312" w:cs="仿宋_GB2312"/>
          <w:color w:val="auto"/>
          <w:spacing w:val="-6"/>
          <w:kern w:val="0"/>
          <w:sz w:val="32"/>
          <w:szCs w:val="32"/>
          <w:highlight w:val="none"/>
          <w:lang w:val="en-US" w:eastAsia="zh-CN"/>
        </w:rPr>
      </w:pPr>
      <w:r>
        <w:rPr>
          <w:rFonts w:ascii="仿宋_GB2312" w:cs="仿宋_GB2312"/>
          <w:color w:val="auto"/>
          <w:spacing w:val="-6"/>
          <w:kern w:val="0"/>
          <w:sz w:val="32"/>
          <w:szCs w:val="32"/>
          <w:lang w:val="en-US" w:eastAsia="zh-CN"/>
        </w:rPr>
        <w:t>广元市经济和信息化局行政执法公示清单</w:t>
      </w:r>
    </w:p>
    <w:p>
      <w:pPr>
        <w:keepNext w:val="0"/>
        <w:keepLines w:val="0"/>
        <w:pageBreakBefore w:val="0"/>
        <w:widowControl w:val="0"/>
        <w:kinsoku/>
        <w:wordWrap/>
        <w:overflowPunct/>
        <w:topLinePunct w:val="0"/>
        <w:autoSpaceDE/>
        <w:autoSpaceDN/>
        <w:bidi w:val="0"/>
        <w:adjustRightInd/>
        <w:snapToGrid/>
        <w:spacing w:line="576" w:lineRule="exact"/>
        <w:ind w:left="0" w:right="0" w:firstLine="616" w:firstLineChars="200"/>
        <w:jc w:val="both"/>
        <w:textAlignment w:val="auto"/>
        <w:rPr>
          <w:rFonts w:ascii="仿宋_GB2312" w:cs="仿宋_GB2312"/>
          <w:color w:val="auto"/>
          <w:spacing w:val="-6"/>
          <w:kern w:val="0"/>
          <w:sz w:val="32"/>
          <w:szCs w:val="32"/>
          <w:lang w:val="en-US" w:eastAsia="zh-CN"/>
        </w:rPr>
      </w:pPr>
      <w:r>
        <w:rPr>
          <w:rFonts w:ascii="仿宋_GB2312" w:cs="仿宋_GB2312"/>
          <w:color w:val="auto"/>
          <w:spacing w:val="-6"/>
          <w:kern w:val="0"/>
          <w:sz w:val="32"/>
          <w:szCs w:val="32"/>
          <w:lang w:val="en-US" w:eastAsia="zh-CN"/>
        </w:rPr>
        <w:t>广元市经济和信息化局行政执法全过程记录清单</w:t>
      </w:r>
    </w:p>
    <w:p>
      <w:pPr>
        <w:pStyle w:val="11"/>
        <w:keepNext w:val="0"/>
        <w:keepLines w:val="0"/>
        <w:pageBreakBefore w:val="0"/>
        <w:widowControl w:val="0"/>
        <w:ind w:firstLine="640" w:firstLineChars="200"/>
        <w:rPr>
          <w:color w:val="auto"/>
        </w:rPr>
      </w:pPr>
      <w:r>
        <w:rPr>
          <w:color w:val="auto"/>
        </w:rPr>
        <w:t>广元市经济和信息化局重大行政执法决定法制审核清单</w:t>
      </w:r>
    </w:p>
    <w:p>
      <w:pPr>
        <w:keepNext w:val="0"/>
        <w:keepLines w:val="0"/>
        <w:pageBreakBefore w:val="0"/>
        <w:widowControl w:val="0"/>
        <w:kinsoku/>
        <w:wordWrap/>
        <w:overflowPunct/>
        <w:topLinePunct w:val="0"/>
        <w:autoSpaceDE/>
        <w:autoSpaceDN/>
        <w:bidi w:val="0"/>
        <w:adjustRightInd/>
        <w:snapToGrid/>
        <w:spacing w:line="576" w:lineRule="exact"/>
        <w:ind w:left="0" w:right="0" w:firstLine="616" w:firstLineChars="200"/>
        <w:jc w:val="both"/>
        <w:textAlignment w:val="auto"/>
        <w:rPr>
          <w:rFonts w:ascii="仿宋_GB2312" w:cs="仿宋_GB2312"/>
          <w:color w:val="auto"/>
          <w:spacing w:val="-6"/>
          <w:kern w:val="0"/>
          <w:sz w:val="32"/>
          <w:szCs w:val="32"/>
          <w:highlight w:val="none"/>
          <w:lang w:val="en-US" w:eastAsia="zh-CN"/>
        </w:rPr>
      </w:pPr>
      <w:r>
        <w:rPr>
          <w:rFonts w:ascii="仿宋_GB2312" w:cs="仿宋_GB2312"/>
          <w:color w:val="auto"/>
          <w:spacing w:val="-6"/>
          <w:kern w:val="0"/>
          <w:sz w:val="32"/>
          <w:szCs w:val="32"/>
          <w:lang w:val="en-US" w:eastAsia="zh-CN"/>
        </w:rPr>
        <w:t>http://jxj.cngy.gov.cn/New/show/20220516162219375.html</w:t>
      </w:r>
    </w:p>
    <w:p>
      <w:pPr>
        <w:spacing w:line="578" w:lineRule="exact"/>
        <w:ind w:firstLine="640" w:firstLineChars="200"/>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w:t>
      </w:r>
      <w:r>
        <w:rPr>
          <w:rFonts w:hint="eastAsia" w:ascii="黑体" w:hAnsi="黑体" w:eastAsia="黑体" w:cs="黑体"/>
          <w:color w:val="auto"/>
          <w:sz w:val="32"/>
          <w:szCs w:val="32"/>
        </w:rPr>
        <w:t>、广元市经济和信息化局行政执法主体</w:t>
      </w:r>
      <w:r>
        <w:rPr>
          <w:rFonts w:hint="eastAsia" w:ascii="黑体" w:hAnsi="黑体" w:eastAsia="黑体" w:cs="黑体"/>
          <w:color w:val="auto"/>
          <w:sz w:val="32"/>
          <w:szCs w:val="32"/>
          <w:lang w:eastAsia="zh-CN"/>
        </w:rPr>
        <w:t>、执法人员</w:t>
      </w:r>
    </w:p>
    <w:p>
      <w:pPr>
        <w:pStyle w:val="20"/>
        <w:spacing w:line="578" w:lineRule="exact"/>
        <w:rPr>
          <w:color w:val="auto"/>
        </w:rPr>
      </w:pPr>
      <w:r>
        <w:rPr>
          <w:rFonts w:hint="eastAsia" w:ascii="仿宋_GB2312" w:hAnsi="仿宋_GB2312" w:eastAsia="仿宋_GB2312" w:cs="仿宋_GB2312"/>
          <w:color w:val="auto"/>
          <w:sz w:val="32"/>
          <w:szCs w:val="32"/>
        </w:rPr>
        <w:t xml:space="preserve">广元市司法局  </w:t>
      </w:r>
      <w:r>
        <w:rPr>
          <w:color w:val="auto"/>
        </w:rPr>
        <w:t>窗体顶端</w:t>
      </w:r>
    </w:p>
    <w:p>
      <w:pPr>
        <w:numPr>
          <w:ilvl w:val="0"/>
          <w:numId w:val="1"/>
        </w:numPr>
        <w:spacing w:line="578" w:lineRule="exact"/>
        <w:ind w:firstLine="640" w:firstLineChars="200"/>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rPr>
        <w:t>行政执法主体</w:t>
      </w:r>
      <w:r>
        <w:rPr>
          <w:rFonts w:hint="eastAsia" w:ascii="楷体_GB2312" w:hAnsi="楷体_GB2312" w:eastAsia="楷体_GB2312" w:cs="楷体_GB2312"/>
          <w:b w:val="0"/>
          <w:bCs w:val="0"/>
          <w:color w:val="auto"/>
          <w:sz w:val="32"/>
          <w:szCs w:val="32"/>
          <w:lang w:eastAsia="zh-CN"/>
        </w:rPr>
        <w:t>：</w:t>
      </w:r>
      <w:r>
        <w:rPr>
          <w:rFonts w:hint="eastAsia" w:ascii="楷体_GB2312" w:hAnsi="楷体_GB2312" w:eastAsia="楷体_GB2312" w:cs="楷体_GB2312"/>
          <w:b w:val="0"/>
          <w:bCs w:val="0"/>
          <w:color w:val="auto"/>
          <w:sz w:val="32"/>
          <w:szCs w:val="32"/>
          <w:lang w:val="en-US" w:eastAsia="zh-CN"/>
        </w:rPr>
        <w:t xml:space="preserve"> </w:t>
      </w:r>
    </w:p>
    <w:p>
      <w:pPr>
        <w:numPr>
          <w:ilvl w:val="0"/>
          <w:numId w:val="0"/>
        </w:numPr>
        <w:spacing w:line="578" w:lineRule="exact"/>
        <w:ind w:firstLine="640" w:firstLineChars="200"/>
        <w:rPr>
          <w:rFonts w:hint="eastAsia" w:ascii="黑体" w:eastAsia="仿宋_GB2312" w:cs="黑体"/>
          <w:color w:val="auto"/>
          <w:sz w:val="32"/>
          <w:szCs w:val="32"/>
          <w:lang w:eastAsia="zh-CN"/>
        </w:rPr>
      </w:pPr>
      <w:r>
        <w:rPr>
          <w:rFonts w:hint="eastAsia" w:ascii="仿宋_GB2312" w:hAnsi="仿宋_GB2312" w:eastAsia="仿宋_GB2312" w:cs="仿宋_GB2312"/>
          <w:color w:val="auto"/>
          <w:sz w:val="32"/>
          <w:szCs w:val="32"/>
        </w:rPr>
        <w:t>广元市经济和信息化局</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地址:四川省广元市利州区东坝街道两桥街28号</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邮编:628000</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电话</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0839-3263686</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传真:0839-3264284</w:t>
      </w:r>
      <w:r>
        <w:rPr>
          <w:rFonts w:hint="eastAsia" w:ascii="仿宋_GB2312" w:hAnsi="仿宋_GB2312" w:cs="仿宋_GB2312"/>
          <w:color w:val="auto"/>
          <w:sz w:val="32"/>
          <w:szCs w:val="32"/>
          <w:lang w:eastAsia="zh-CN"/>
        </w:rPr>
        <w:t>。</w:t>
      </w:r>
    </w:p>
    <w:p>
      <w:pPr>
        <w:numPr>
          <w:ilvl w:val="0"/>
          <w:numId w:val="0"/>
        </w:numPr>
        <w:spacing w:line="578" w:lineRule="exact"/>
        <w:ind w:firstLine="640" w:firstLineChars="200"/>
        <w:rPr>
          <w:rFonts w:hint="eastAsia" w:ascii="楷体_GB2312" w:hAnsi="楷体_GB2312" w:eastAsia="楷体_GB2312" w:cs="楷体_GB2312"/>
          <w:b w:val="0"/>
          <w:bCs w:val="0"/>
          <w:color w:val="auto"/>
          <w:sz w:val="32"/>
          <w:szCs w:val="32"/>
        </w:rPr>
      </w:pPr>
      <w:r>
        <w:rPr>
          <w:rFonts w:hint="eastAsia" w:ascii="楷体_GB2312" w:hAnsi="楷体_GB2312" w:eastAsia="楷体_GB2312" w:cs="楷体_GB2312"/>
          <w:b w:val="0"/>
          <w:bCs w:val="0"/>
          <w:color w:val="auto"/>
          <w:sz w:val="32"/>
          <w:szCs w:val="32"/>
          <w:lang w:eastAsia="zh-CN"/>
        </w:rPr>
        <w:t>（二）</w:t>
      </w:r>
      <w:r>
        <w:rPr>
          <w:rFonts w:hint="eastAsia" w:ascii="楷体_GB2312" w:hAnsi="楷体_GB2312" w:eastAsia="楷体_GB2312" w:cs="楷体_GB2312"/>
          <w:b w:val="0"/>
          <w:bCs w:val="0"/>
          <w:color w:val="auto"/>
          <w:sz w:val="32"/>
          <w:szCs w:val="32"/>
        </w:rPr>
        <w:t>行政执法人员</w:t>
      </w:r>
    </w:p>
    <w:tbl>
      <w:tblPr>
        <w:tblStyle w:val="1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41"/>
        <w:gridCol w:w="3043"/>
        <w:gridCol w:w="39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99"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黑体" w:eastAsia="黑体" w:cs="宋体"/>
                <w:color w:val="auto"/>
                <w:sz w:val="24"/>
                <w:szCs w:val="24"/>
              </w:rPr>
            </w:pPr>
            <w:r>
              <w:rPr>
                <w:rFonts w:hint="eastAsia" w:ascii="黑体" w:eastAsia="黑体" w:cs="宋体"/>
                <w:color w:val="auto"/>
                <w:kern w:val="0"/>
                <w:sz w:val="24"/>
                <w:szCs w:val="24"/>
              </w:rPr>
              <w:t>序号</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黑体" w:eastAsia="黑体" w:cs="宋体"/>
                <w:color w:val="auto"/>
                <w:sz w:val="24"/>
                <w:szCs w:val="24"/>
              </w:rPr>
            </w:pPr>
            <w:r>
              <w:rPr>
                <w:rFonts w:hint="eastAsia" w:ascii="黑体" w:eastAsia="黑体" w:cs="宋体"/>
                <w:color w:val="auto"/>
                <w:kern w:val="0"/>
                <w:sz w:val="24"/>
                <w:szCs w:val="24"/>
              </w:rPr>
              <w:t>姓名</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黑体" w:eastAsia="黑体" w:cs="宋体"/>
                <w:color w:val="auto"/>
                <w:sz w:val="24"/>
                <w:szCs w:val="24"/>
              </w:rPr>
            </w:pPr>
            <w:r>
              <w:rPr>
                <w:rFonts w:hint="eastAsia" w:ascii="黑体" w:eastAsia="黑体" w:cs="宋体"/>
                <w:color w:val="auto"/>
                <w:kern w:val="0"/>
                <w:sz w:val="24"/>
                <w:szCs w:val="24"/>
              </w:rPr>
              <w:t>证件编号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eastAsia="宋体" w:cs="仿宋_GB2312"/>
                <w:color w:val="auto"/>
                <w:sz w:val="24"/>
                <w:szCs w:val="24"/>
              </w:rPr>
            </w:pPr>
            <w:r>
              <w:rPr>
                <w:rFonts w:hint="eastAsia" w:ascii="宋体" w:eastAsia="宋体" w:cs="仿宋_GB2312"/>
                <w:color w:val="auto"/>
                <w:kern w:val="0"/>
                <w:sz w:val="24"/>
                <w:szCs w:val="24"/>
              </w:rPr>
              <w:t>1</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rPr>
            </w:pPr>
            <w:r>
              <w:rPr>
                <w:rFonts w:hint="eastAsia" w:ascii="宋体" w:eastAsia="宋体" w:cs="仿宋_GB2312"/>
                <w:color w:val="auto"/>
                <w:kern w:val="0"/>
                <w:sz w:val="24"/>
                <w:szCs w:val="24"/>
              </w:rPr>
              <w:t>熊光斌</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eastAsia="宋体" w:cs="仿宋_GB2312"/>
                <w:color w:val="auto"/>
                <w:sz w:val="24"/>
                <w:szCs w:val="24"/>
                <w:lang w:val="en-US" w:eastAsia="zh-CN"/>
              </w:rPr>
            </w:pPr>
            <w:r>
              <w:rPr>
                <w:rStyle w:val="22"/>
                <w:rFonts w:hint="eastAsia" w:ascii="宋体" w:hAnsi="宋体"/>
                <w:color w:val="auto"/>
                <w:sz w:val="24"/>
                <w:szCs w:val="24"/>
                <w:lang w:val="en-US" w:eastAsia="zh-CN"/>
              </w:rPr>
              <w:t>23070006034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rPr>
            </w:pPr>
            <w:r>
              <w:rPr>
                <w:rFonts w:hint="eastAsia" w:ascii="宋体" w:eastAsia="宋体" w:cs="仿宋_GB2312"/>
                <w:color w:val="auto"/>
                <w:kern w:val="0"/>
                <w:sz w:val="24"/>
                <w:szCs w:val="24"/>
              </w:rPr>
              <w:t>2</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rPr>
            </w:pPr>
            <w:r>
              <w:rPr>
                <w:rFonts w:hint="eastAsia" w:ascii="宋体" w:eastAsia="宋体" w:cs="仿宋_GB2312"/>
                <w:color w:val="auto"/>
                <w:kern w:val="0"/>
                <w:sz w:val="24"/>
                <w:szCs w:val="24"/>
              </w:rPr>
              <w:t>孙正梁</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lang w:eastAsia="zh-CN"/>
              </w:rPr>
            </w:pPr>
            <w:r>
              <w:rPr>
                <w:rStyle w:val="22"/>
                <w:rFonts w:hint="eastAsia" w:ascii="宋体" w:hAnsi="宋体"/>
                <w:color w:val="auto"/>
                <w:sz w:val="24"/>
                <w:szCs w:val="24"/>
                <w:lang w:val="en-US" w:eastAsia="zh-CN"/>
              </w:rPr>
              <w:t>230700060</w:t>
            </w:r>
            <w:r>
              <w:rPr>
                <w:rFonts w:hint="eastAsia" w:ascii="宋体" w:eastAsia="宋体" w:cs="仿宋_GB2312"/>
                <w:color w:val="auto"/>
                <w:kern w:val="0"/>
                <w:sz w:val="24"/>
                <w:szCs w:val="24"/>
              </w:rPr>
              <w:t>2</w:t>
            </w:r>
            <w:r>
              <w:rPr>
                <w:rFonts w:hint="eastAsia" w:ascii="宋体" w:hAnsi="宋体" w:cs="仿宋_GB2312"/>
                <w:color w:val="auto"/>
                <w:kern w:val="0"/>
                <w:sz w:val="24"/>
                <w:szCs w:val="24"/>
                <w:lang w:val="en-US" w:eastAsia="zh-CN"/>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lang w:eastAsia="zh-CN"/>
              </w:rPr>
            </w:pPr>
            <w:r>
              <w:rPr>
                <w:rFonts w:hint="eastAsia" w:ascii="宋体" w:hAnsi="宋体" w:cs="仿宋_GB2312"/>
                <w:color w:val="auto"/>
                <w:kern w:val="0"/>
                <w:sz w:val="24"/>
                <w:szCs w:val="24"/>
                <w:lang w:val="en-US" w:eastAsia="zh-CN"/>
              </w:rPr>
              <w:t>3</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rPr>
            </w:pPr>
            <w:r>
              <w:rPr>
                <w:rFonts w:hint="eastAsia" w:ascii="宋体" w:eastAsia="宋体" w:cs="仿宋_GB2312"/>
                <w:color w:val="auto"/>
                <w:kern w:val="0"/>
                <w:sz w:val="24"/>
                <w:szCs w:val="24"/>
              </w:rPr>
              <w:t>贾海波</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rPr>
            </w:pPr>
            <w:r>
              <w:rPr>
                <w:rStyle w:val="22"/>
                <w:rFonts w:hint="eastAsia" w:ascii="宋体" w:hAnsi="宋体"/>
                <w:color w:val="auto"/>
                <w:sz w:val="24"/>
                <w:szCs w:val="24"/>
                <w:lang w:val="en-US" w:eastAsia="zh-CN"/>
              </w:rPr>
              <w:t>230700060</w:t>
            </w:r>
            <w:r>
              <w:rPr>
                <w:rFonts w:hint="eastAsia" w:ascii="宋体" w:hAnsi="宋体" w:cs="仿宋_GB2312"/>
                <w:color w:val="auto"/>
                <w:kern w:val="0"/>
                <w:sz w:val="24"/>
                <w:szCs w:val="24"/>
                <w:lang w:val="en-US" w:eastAsia="zh-CN"/>
              </w:rPr>
              <w:t>3</w:t>
            </w:r>
            <w:r>
              <w:rPr>
                <w:rFonts w:hint="eastAsia" w:ascii="宋体" w:eastAsia="宋体" w:cs="仿宋_GB2312"/>
                <w:color w:val="auto"/>
                <w:kern w:val="0"/>
                <w:sz w:val="24"/>
                <w:szCs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lang w:eastAsia="zh-CN"/>
              </w:rPr>
            </w:pPr>
            <w:r>
              <w:rPr>
                <w:rFonts w:hint="eastAsia" w:ascii="宋体" w:hAnsi="宋体" w:cs="仿宋_GB2312"/>
                <w:color w:val="auto"/>
                <w:kern w:val="0"/>
                <w:sz w:val="24"/>
                <w:szCs w:val="24"/>
                <w:lang w:val="en-US" w:eastAsia="zh-CN"/>
              </w:rPr>
              <w:t>4</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rPr>
            </w:pPr>
            <w:r>
              <w:rPr>
                <w:rFonts w:hint="eastAsia" w:ascii="宋体" w:eastAsia="宋体" w:cs="仿宋_GB2312"/>
                <w:color w:val="auto"/>
                <w:kern w:val="0"/>
                <w:sz w:val="24"/>
                <w:szCs w:val="24"/>
              </w:rPr>
              <w:t>岳彪林</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仿宋_GB2312" w:cs="仿宋_GB2312"/>
                <w:color w:val="auto"/>
                <w:sz w:val="24"/>
                <w:szCs w:val="24"/>
                <w:lang w:val="en-US" w:eastAsia="zh-CN"/>
              </w:rPr>
            </w:pPr>
            <w:r>
              <w:rPr>
                <w:rStyle w:val="22"/>
                <w:rFonts w:hint="eastAsia" w:ascii="宋体" w:hAnsi="宋体"/>
                <w:color w:val="auto"/>
                <w:sz w:val="24"/>
                <w:szCs w:val="24"/>
                <w:lang w:val="en-US" w:eastAsia="zh-CN"/>
              </w:rPr>
              <w:t>230700060</w:t>
            </w:r>
            <w:r>
              <w:rPr>
                <w:rFonts w:hint="eastAsia" w:ascii="宋体" w:hAnsi="宋体" w:cs="仿宋_GB2312"/>
                <w:color w:val="auto"/>
                <w:kern w:val="0"/>
                <w:sz w:val="24"/>
                <w:szCs w:val="24"/>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lang w:eastAsia="zh-CN"/>
              </w:rPr>
            </w:pPr>
            <w:r>
              <w:rPr>
                <w:rFonts w:hint="eastAsia" w:ascii="宋体" w:hAnsi="宋体" w:cs="仿宋_GB2312"/>
                <w:color w:val="auto"/>
                <w:kern w:val="0"/>
                <w:sz w:val="24"/>
                <w:szCs w:val="24"/>
                <w:lang w:val="en-US" w:eastAsia="zh-CN"/>
              </w:rPr>
              <w:t>5</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rPr>
            </w:pPr>
            <w:r>
              <w:rPr>
                <w:rFonts w:hint="eastAsia" w:ascii="宋体" w:eastAsia="宋体" w:cs="仿宋_GB2312"/>
                <w:color w:val="auto"/>
                <w:kern w:val="0"/>
                <w:sz w:val="24"/>
                <w:szCs w:val="24"/>
              </w:rPr>
              <w:t>李春春</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仿宋_GB2312" w:cs="仿宋_GB2312"/>
                <w:color w:val="auto"/>
                <w:sz w:val="24"/>
                <w:szCs w:val="24"/>
                <w:lang w:val="en-US" w:eastAsia="zh-CN"/>
              </w:rPr>
            </w:pPr>
            <w:r>
              <w:rPr>
                <w:rStyle w:val="22"/>
                <w:rFonts w:hint="eastAsia" w:ascii="宋体" w:hAnsi="宋体"/>
                <w:color w:val="auto"/>
                <w:sz w:val="24"/>
                <w:szCs w:val="24"/>
                <w:lang w:val="en-US" w:eastAsia="zh-CN"/>
              </w:rPr>
              <w:t>230700060</w:t>
            </w:r>
            <w:r>
              <w:rPr>
                <w:rFonts w:hint="eastAsia" w:ascii="宋体" w:hAnsi="宋体" w:cs="仿宋_GB2312"/>
                <w:color w:val="auto"/>
                <w:kern w:val="0"/>
                <w:sz w:val="24"/>
                <w:szCs w:val="24"/>
                <w:lang w:val="en-US" w:eastAsia="zh-CN"/>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lang w:eastAsia="zh-CN"/>
              </w:rPr>
            </w:pPr>
            <w:r>
              <w:rPr>
                <w:rFonts w:hint="eastAsia" w:ascii="宋体" w:hAnsi="宋体" w:cs="仿宋_GB2312"/>
                <w:color w:val="auto"/>
                <w:kern w:val="0"/>
                <w:sz w:val="24"/>
                <w:szCs w:val="24"/>
                <w:lang w:val="en-US" w:eastAsia="zh-CN"/>
              </w:rPr>
              <w:t>6</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rPr>
            </w:pPr>
            <w:r>
              <w:rPr>
                <w:rFonts w:hint="eastAsia" w:ascii="宋体" w:eastAsia="宋体" w:cs="仿宋_GB2312"/>
                <w:color w:val="auto"/>
                <w:kern w:val="0"/>
                <w:sz w:val="24"/>
                <w:szCs w:val="24"/>
              </w:rPr>
              <w:t>刘纪常</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lang w:eastAsia="zh-CN"/>
              </w:rPr>
            </w:pPr>
            <w:r>
              <w:rPr>
                <w:rStyle w:val="22"/>
                <w:rFonts w:hint="eastAsia" w:ascii="宋体" w:hAnsi="宋体"/>
                <w:color w:val="auto"/>
                <w:sz w:val="24"/>
                <w:szCs w:val="24"/>
                <w:lang w:val="en-US" w:eastAsia="zh-CN"/>
              </w:rPr>
              <w:t>230700060</w:t>
            </w:r>
            <w:r>
              <w:rPr>
                <w:rFonts w:hint="eastAsia" w:ascii="宋体" w:eastAsia="宋体" w:cs="仿宋_GB2312"/>
                <w:color w:val="auto"/>
                <w:kern w:val="0"/>
                <w:sz w:val="24"/>
                <w:szCs w:val="24"/>
              </w:rPr>
              <w:t>2</w:t>
            </w:r>
            <w:r>
              <w:rPr>
                <w:rFonts w:hint="eastAsia" w:ascii="宋体" w:hAnsi="宋体" w:cs="仿宋_GB2312"/>
                <w:color w:val="auto"/>
                <w:kern w:val="0"/>
                <w:sz w:val="24"/>
                <w:szCs w:val="24"/>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lang w:eastAsia="zh-CN"/>
              </w:rPr>
            </w:pPr>
            <w:r>
              <w:rPr>
                <w:rFonts w:hint="eastAsia" w:ascii="宋体" w:hAnsi="宋体" w:cs="仿宋_GB2312"/>
                <w:color w:val="auto"/>
                <w:kern w:val="0"/>
                <w:sz w:val="24"/>
                <w:szCs w:val="24"/>
                <w:lang w:val="en-US" w:eastAsia="zh-CN"/>
              </w:rPr>
              <w:t>7</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rPr>
            </w:pPr>
            <w:r>
              <w:rPr>
                <w:rStyle w:val="22"/>
                <w:rFonts w:ascii="宋体" w:eastAsia="宋体"/>
                <w:color w:val="auto"/>
                <w:sz w:val="24"/>
                <w:szCs w:val="24"/>
              </w:rPr>
              <w:t>郑</w:t>
            </w:r>
            <w:r>
              <w:rPr>
                <w:rStyle w:val="18"/>
                <w:rFonts w:ascii="宋体" w:eastAsia="宋体"/>
                <w:color w:val="auto"/>
                <w:sz w:val="24"/>
                <w:szCs w:val="24"/>
              </w:rPr>
              <w:t xml:space="preserve">  </w:t>
            </w:r>
            <w:r>
              <w:rPr>
                <w:rStyle w:val="22"/>
                <w:rFonts w:ascii="宋体" w:eastAsia="宋体"/>
                <w:color w:val="auto"/>
                <w:sz w:val="24"/>
                <w:szCs w:val="24"/>
              </w:rPr>
              <w:t>波</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lang w:eastAsia="zh-CN"/>
              </w:rPr>
            </w:pPr>
            <w:r>
              <w:rPr>
                <w:rStyle w:val="22"/>
                <w:rFonts w:hint="eastAsia" w:ascii="宋体" w:hAnsi="宋体"/>
                <w:color w:val="auto"/>
                <w:sz w:val="24"/>
                <w:szCs w:val="24"/>
                <w:lang w:val="en-US" w:eastAsia="zh-CN"/>
              </w:rPr>
              <w:t>230700060</w:t>
            </w:r>
            <w:r>
              <w:rPr>
                <w:rFonts w:hint="eastAsia" w:ascii="宋体" w:eastAsia="宋体" w:cs="仿宋_GB2312"/>
                <w:color w:val="auto"/>
                <w:kern w:val="0"/>
                <w:sz w:val="24"/>
                <w:szCs w:val="24"/>
              </w:rPr>
              <w:t>2</w:t>
            </w:r>
            <w:r>
              <w:rPr>
                <w:rFonts w:hint="eastAsia" w:ascii="宋体" w:hAnsi="宋体" w:cs="仿宋_GB2312"/>
                <w:color w:val="auto"/>
                <w:kern w:val="0"/>
                <w:sz w:val="24"/>
                <w:szCs w:val="24"/>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lang w:eastAsia="zh-CN"/>
              </w:rPr>
            </w:pPr>
            <w:r>
              <w:rPr>
                <w:rFonts w:hint="eastAsia" w:ascii="宋体" w:hAnsi="宋体" w:cs="仿宋_GB2312"/>
                <w:color w:val="auto"/>
                <w:kern w:val="0"/>
                <w:sz w:val="24"/>
                <w:szCs w:val="24"/>
                <w:lang w:val="en-US" w:eastAsia="zh-CN"/>
              </w:rPr>
              <w:t>8</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rPr>
            </w:pPr>
            <w:r>
              <w:rPr>
                <w:rFonts w:hint="eastAsia" w:ascii="宋体" w:eastAsia="宋体" w:cs="仿宋_GB2312"/>
                <w:color w:val="auto"/>
                <w:kern w:val="0"/>
                <w:sz w:val="24"/>
                <w:szCs w:val="24"/>
              </w:rPr>
              <w:t>张少权</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lang w:eastAsia="zh-CN"/>
              </w:rPr>
            </w:pPr>
            <w:r>
              <w:rPr>
                <w:rStyle w:val="22"/>
                <w:rFonts w:hint="eastAsia" w:ascii="宋体" w:hAnsi="宋体"/>
                <w:color w:val="auto"/>
                <w:sz w:val="24"/>
                <w:szCs w:val="24"/>
                <w:lang w:val="en-US" w:eastAsia="zh-CN"/>
              </w:rPr>
              <w:t>230700060</w:t>
            </w:r>
            <w:r>
              <w:rPr>
                <w:rFonts w:hint="eastAsia" w:ascii="宋体" w:eastAsia="宋体" w:cs="仿宋_GB2312"/>
                <w:color w:val="auto"/>
                <w:kern w:val="0"/>
                <w:sz w:val="24"/>
                <w:szCs w:val="24"/>
              </w:rPr>
              <w:t>2</w:t>
            </w:r>
            <w:r>
              <w:rPr>
                <w:rFonts w:hint="eastAsia" w:ascii="宋体" w:hAnsi="宋体" w:cs="仿宋_GB2312"/>
                <w:color w:val="auto"/>
                <w:kern w:val="0"/>
                <w:sz w:val="24"/>
                <w:szCs w:val="24"/>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lang w:eastAsia="zh-CN"/>
              </w:rPr>
            </w:pPr>
            <w:r>
              <w:rPr>
                <w:rFonts w:hint="eastAsia" w:ascii="宋体" w:hAnsi="宋体" w:cs="仿宋_GB2312"/>
                <w:color w:val="auto"/>
                <w:kern w:val="0"/>
                <w:sz w:val="24"/>
                <w:szCs w:val="24"/>
                <w:lang w:val="en-US" w:eastAsia="zh-CN"/>
              </w:rPr>
              <w:t>9</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rPr>
            </w:pPr>
            <w:r>
              <w:rPr>
                <w:rFonts w:hint="eastAsia" w:ascii="宋体" w:eastAsia="宋体" w:cs="仿宋_GB2312"/>
                <w:color w:val="auto"/>
                <w:kern w:val="0"/>
                <w:sz w:val="24"/>
                <w:szCs w:val="24"/>
              </w:rPr>
              <w:t>杨  淇</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rPr>
            </w:pPr>
            <w:r>
              <w:rPr>
                <w:rStyle w:val="22"/>
                <w:rFonts w:hint="eastAsia" w:ascii="宋体" w:hAnsi="宋体"/>
                <w:color w:val="auto"/>
                <w:sz w:val="24"/>
                <w:szCs w:val="24"/>
                <w:lang w:val="en-US" w:eastAsia="zh-CN"/>
              </w:rPr>
              <w:t>230700060</w:t>
            </w:r>
            <w:r>
              <w:rPr>
                <w:rFonts w:hint="eastAsia" w:ascii="宋体" w:eastAsia="宋体" w:cs="仿宋_GB2312"/>
                <w:color w:val="auto"/>
                <w:kern w:val="0"/>
                <w:sz w:val="24"/>
                <w:szCs w:val="24"/>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lang w:eastAsia="zh-CN"/>
              </w:rPr>
            </w:pPr>
            <w:r>
              <w:rPr>
                <w:rFonts w:hint="eastAsia" w:ascii="宋体" w:eastAsia="宋体" w:cs="仿宋_GB2312"/>
                <w:color w:val="auto"/>
                <w:kern w:val="0"/>
                <w:sz w:val="24"/>
                <w:szCs w:val="24"/>
              </w:rPr>
              <w:t>1</w:t>
            </w:r>
            <w:r>
              <w:rPr>
                <w:rFonts w:hint="eastAsia" w:ascii="宋体" w:hAnsi="宋体" w:cs="仿宋_GB2312"/>
                <w:color w:val="auto"/>
                <w:kern w:val="0"/>
                <w:sz w:val="24"/>
                <w:szCs w:val="24"/>
                <w:lang w:val="en-US" w:eastAsia="zh-CN"/>
              </w:rPr>
              <w:t>0</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rPr>
            </w:pPr>
            <w:r>
              <w:rPr>
                <w:rFonts w:hint="eastAsia" w:ascii="宋体" w:eastAsia="宋体" w:cs="仿宋_GB2312"/>
                <w:color w:val="auto"/>
                <w:kern w:val="0"/>
                <w:sz w:val="24"/>
                <w:szCs w:val="24"/>
              </w:rPr>
              <w:t>周盈春</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rPr>
            </w:pPr>
            <w:r>
              <w:rPr>
                <w:rStyle w:val="22"/>
                <w:rFonts w:hint="eastAsia" w:ascii="宋体" w:hAnsi="宋体"/>
                <w:color w:val="auto"/>
                <w:sz w:val="24"/>
                <w:szCs w:val="24"/>
                <w:lang w:val="en-US" w:eastAsia="zh-CN"/>
              </w:rPr>
              <w:t>23070006036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lang w:eastAsia="zh-CN"/>
              </w:rPr>
            </w:pPr>
            <w:r>
              <w:rPr>
                <w:rFonts w:hint="eastAsia" w:ascii="宋体" w:eastAsia="宋体" w:cs="仿宋_GB2312"/>
                <w:color w:val="auto"/>
                <w:kern w:val="0"/>
                <w:sz w:val="24"/>
                <w:szCs w:val="24"/>
              </w:rPr>
              <w:t>1</w:t>
            </w:r>
            <w:r>
              <w:rPr>
                <w:rFonts w:hint="eastAsia" w:ascii="宋体" w:hAnsi="宋体" w:cs="仿宋_GB2312"/>
                <w:color w:val="auto"/>
                <w:kern w:val="0"/>
                <w:sz w:val="24"/>
                <w:szCs w:val="24"/>
                <w:lang w:val="en-US" w:eastAsia="zh-CN"/>
              </w:rPr>
              <w:t>1</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rPr>
            </w:pPr>
            <w:r>
              <w:rPr>
                <w:rFonts w:hint="eastAsia" w:ascii="宋体" w:eastAsia="宋体" w:cs="仿宋_GB2312"/>
                <w:color w:val="auto"/>
                <w:kern w:val="0"/>
                <w:sz w:val="24"/>
                <w:szCs w:val="24"/>
              </w:rPr>
              <w:t>赵  越</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eastAsia="宋体" w:cs="仿宋_GB2312"/>
                <w:color w:val="auto"/>
                <w:sz w:val="24"/>
                <w:szCs w:val="24"/>
                <w:lang w:val="en-US"/>
              </w:rPr>
            </w:pPr>
            <w:r>
              <w:rPr>
                <w:rStyle w:val="22"/>
                <w:rFonts w:hint="eastAsia" w:ascii="宋体" w:hAnsi="宋体"/>
                <w:color w:val="auto"/>
                <w:sz w:val="24"/>
                <w:szCs w:val="24"/>
                <w:lang w:val="en-US" w:eastAsia="zh-CN"/>
              </w:rPr>
              <w:t>23070006023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lang w:eastAsia="zh-CN"/>
              </w:rPr>
            </w:pPr>
            <w:r>
              <w:rPr>
                <w:rFonts w:hint="eastAsia" w:ascii="宋体" w:eastAsia="宋体" w:cs="仿宋_GB2312"/>
                <w:color w:val="auto"/>
                <w:kern w:val="0"/>
                <w:sz w:val="24"/>
                <w:szCs w:val="24"/>
              </w:rPr>
              <w:t>1</w:t>
            </w:r>
            <w:r>
              <w:rPr>
                <w:rFonts w:hint="eastAsia" w:ascii="宋体" w:hAnsi="宋体" w:cs="仿宋_GB2312"/>
                <w:color w:val="auto"/>
                <w:kern w:val="0"/>
                <w:sz w:val="24"/>
                <w:szCs w:val="24"/>
                <w:lang w:val="en-US" w:eastAsia="zh-CN"/>
              </w:rPr>
              <w:t>2</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eastAsia="宋体" w:cs="仿宋_GB2312"/>
                <w:color w:val="auto"/>
                <w:sz w:val="24"/>
                <w:szCs w:val="24"/>
              </w:rPr>
            </w:pPr>
            <w:r>
              <w:rPr>
                <w:rStyle w:val="22"/>
                <w:rFonts w:ascii="宋体" w:eastAsia="宋体"/>
                <w:color w:val="auto"/>
                <w:sz w:val="24"/>
                <w:szCs w:val="24"/>
              </w:rPr>
              <w:t>曾</w:t>
            </w:r>
            <w:r>
              <w:rPr>
                <w:rStyle w:val="17"/>
                <w:rFonts w:ascii="宋体" w:eastAsia="宋体"/>
                <w:color w:val="auto"/>
                <w:sz w:val="24"/>
                <w:szCs w:val="24"/>
              </w:rPr>
              <w:t xml:space="preserve">   </w:t>
            </w:r>
            <w:r>
              <w:rPr>
                <w:rStyle w:val="22"/>
                <w:rFonts w:ascii="宋体" w:eastAsia="宋体"/>
                <w:color w:val="auto"/>
                <w:sz w:val="24"/>
                <w:szCs w:val="24"/>
              </w:rPr>
              <w:t>莉</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eastAsia="宋体" w:cs="仿宋_GB2312"/>
                <w:color w:val="auto"/>
                <w:sz w:val="24"/>
                <w:szCs w:val="24"/>
                <w:lang w:val="en-US"/>
              </w:rPr>
            </w:pPr>
            <w:r>
              <w:rPr>
                <w:rStyle w:val="22"/>
                <w:rFonts w:hint="eastAsia" w:ascii="宋体" w:hAnsi="宋体"/>
                <w:color w:val="auto"/>
                <w:sz w:val="24"/>
                <w:szCs w:val="24"/>
                <w:lang w:val="en-US" w:eastAsia="zh-CN"/>
              </w:rPr>
              <w:t>23070006022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eastAsia="宋体" w:cs="仿宋_GB2312"/>
                <w:color w:val="auto"/>
                <w:kern w:val="0"/>
                <w:sz w:val="24"/>
                <w:szCs w:val="24"/>
                <w:lang w:val="en-US" w:eastAsia="zh-CN"/>
              </w:rPr>
            </w:pPr>
            <w:r>
              <w:rPr>
                <w:rFonts w:hint="eastAsia" w:ascii="宋体" w:hAnsi="宋体" w:cs="仿宋_GB2312"/>
                <w:color w:val="auto"/>
                <w:kern w:val="0"/>
                <w:sz w:val="24"/>
                <w:szCs w:val="24"/>
                <w:lang w:val="en-US" w:eastAsia="zh-CN"/>
              </w:rPr>
              <w:t>13</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Style w:val="22"/>
                <w:rFonts w:hint="eastAsia" w:ascii="宋体" w:eastAsia="宋体"/>
                <w:color w:val="auto"/>
                <w:sz w:val="24"/>
                <w:szCs w:val="24"/>
                <w:lang w:eastAsia="zh-CN"/>
              </w:rPr>
            </w:pPr>
            <w:r>
              <w:rPr>
                <w:rStyle w:val="22"/>
                <w:rFonts w:hint="eastAsia" w:ascii="宋体" w:eastAsia="宋体"/>
                <w:color w:val="auto"/>
                <w:sz w:val="24"/>
                <w:szCs w:val="24"/>
                <w:lang w:eastAsia="zh-CN"/>
              </w:rPr>
              <w:t>杜</w:t>
            </w:r>
            <w:r>
              <w:rPr>
                <w:rStyle w:val="22"/>
                <w:rFonts w:hint="eastAsia" w:ascii="宋体" w:hAnsi="宋体"/>
                <w:color w:val="auto"/>
                <w:sz w:val="24"/>
                <w:szCs w:val="24"/>
                <w:lang w:val="en-US" w:eastAsia="zh-CN"/>
              </w:rPr>
              <w:t xml:space="preserve">   </w:t>
            </w:r>
            <w:r>
              <w:rPr>
                <w:rStyle w:val="22"/>
                <w:rFonts w:hint="eastAsia" w:ascii="宋体" w:eastAsia="宋体"/>
                <w:color w:val="auto"/>
                <w:sz w:val="24"/>
                <w:szCs w:val="24"/>
                <w:lang w:eastAsia="zh-CN"/>
              </w:rPr>
              <w:t>平</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Style w:val="22"/>
                <w:rFonts w:ascii="宋体" w:eastAsia="宋体"/>
                <w:color w:val="auto"/>
                <w:sz w:val="24"/>
                <w:szCs w:val="24"/>
              </w:rPr>
            </w:pPr>
            <w:r>
              <w:rPr>
                <w:rStyle w:val="22"/>
                <w:rFonts w:hint="eastAsia" w:ascii="宋体" w:hAnsi="宋体"/>
                <w:color w:val="auto"/>
                <w:sz w:val="24"/>
                <w:szCs w:val="24"/>
                <w:lang w:val="en-US" w:eastAsia="zh-CN"/>
              </w:rPr>
              <w:t>23070006031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eastAsia="宋体" w:cs="仿宋_GB2312"/>
                <w:color w:val="auto"/>
                <w:kern w:val="0"/>
                <w:sz w:val="24"/>
                <w:szCs w:val="24"/>
                <w:lang w:val="en-US" w:eastAsia="zh-CN"/>
              </w:rPr>
            </w:pPr>
            <w:r>
              <w:rPr>
                <w:rFonts w:hint="eastAsia" w:ascii="宋体" w:hAnsi="宋体" w:cs="仿宋_GB2312"/>
                <w:color w:val="auto"/>
                <w:kern w:val="0"/>
                <w:sz w:val="24"/>
                <w:szCs w:val="24"/>
                <w:lang w:val="en-US" w:eastAsia="zh-CN"/>
              </w:rPr>
              <w:t>14</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Style w:val="22"/>
                <w:rFonts w:hint="eastAsia" w:ascii="宋体" w:eastAsia="宋体"/>
                <w:color w:val="auto"/>
                <w:sz w:val="24"/>
                <w:szCs w:val="24"/>
                <w:lang w:eastAsia="zh-CN"/>
              </w:rPr>
            </w:pPr>
            <w:r>
              <w:rPr>
                <w:rStyle w:val="22"/>
                <w:rFonts w:hint="eastAsia" w:ascii="宋体" w:eastAsia="宋体"/>
                <w:color w:val="auto"/>
                <w:sz w:val="24"/>
                <w:szCs w:val="24"/>
                <w:lang w:eastAsia="zh-CN"/>
              </w:rPr>
              <w:t>彭</w:t>
            </w:r>
            <w:r>
              <w:rPr>
                <w:rStyle w:val="22"/>
                <w:rFonts w:hint="eastAsia" w:ascii="宋体" w:eastAsia="宋体"/>
                <w:color w:val="auto"/>
                <w:sz w:val="24"/>
                <w:szCs w:val="24"/>
                <w:lang w:val="en-US" w:eastAsia="zh-CN"/>
              </w:rPr>
              <w:t xml:space="preserve">   </w:t>
            </w:r>
            <w:r>
              <w:rPr>
                <w:rStyle w:val="22"/>
                <w:rFonts w:hint="eastAsia" w:ascii="宋体" w:eastAsia="宋体"/>
                <w:color w:val="auto"/>
                <w:sz w:val="24"/>
                <w:szCs w:val="24"/>
                <w:lang w:eastAsia="zh-CN"/>
              </w:rPr>
              <w:t>浩</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Style w:val="22"/>
                <w:rFonts w:ascii="宋体" w:eastAsia="宋体"/>
                <w:color w:val="auto"/>
                <w:sz w:val="24"/>
                <w:szCs w:val="24"/>
                <w:lang w:val="en-US" w:eastAsia="zh-CN"/>
              </w:rPr>
            </w:pPr>
            <w:r>
              <w:rPr>
                <w:rStyle w:val="22"/>
                <w:rFonts w:hint="eastAsia" w:ascii="宋体" w:hAnsi="宋体"/>
                <w:color w:val="auto"/>
                <w:sz w:val="24"/>
                <w:szCs w:val="24"/>
                <w:lang w:val="en-US" w:eastAsia="zh-CN"/>
              </w:rPr>
              <w:t>23070006037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仿宋_GB2312"/>
                <w:color w:val="auto"/>
                <w:kern w:val="0"/>
                <w:sz w:val="24"/>
                <w:szCs w:val="24"/>
                <w:lang w:val="en-US" w:eastAsia="zh-CN"/>
              </w:rPr>
            </w:pPr>
            <w:r>
              <w:rPr>
                <w:rFonts w:hint="eastAsia" w:ascii="宋体" w:hAnsi="宋体" w:cs="仿宋_GB2312"/>
                <w:color w:val="auto"/>
                <w:kern w:val="0"/>
                <w:sz w:val="24"/>
                <w:szCs w:val="24"/>
                <w:lang w:val="en-US" w:eastAsia="zh-CN"/>
              </w:rPr>
              <w:t>15</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Style w:val="22"/>
                <w:rFonts w:hint="eastAsia" w:ascii="宋体" w:eastAsia="宋体"/>
                <w:color w:val="auto"/>
                <w:sz w:val="24"/>
                <w:szCs w:val="24"/>
                <w:lang w:eastAsia="zh-CN"/>
              </w:rPr>
            </w:pPr>
            <w:r>
              <w:rPr>
                <w:rStyle w:val="22"/>
                <w:rFonts w:hint="eastAsia" w:ascii="宋体" w:eastAsia="宋体"/>
                <w:color w:val="auto"/>
                <w:sz w:val="24"/>
                <w:szCs w:val="24"/>
                <w:lang w:eastAsia="zh-CN"/>
              </w:rPr>
              <w:t>姜</w:t>
            </w:r>
            <w:r>
              <w:rPr>
                <w:rStyle w:val="22"/>
                <w:rFonts w:hint="eastAsia" w:ascii="宋体" w:hAnsi="宋体"/>
                <w:color w:val="auto"/>
                <w:sz w:val="24"/>
                <w:szCs w:val="24"/>
                <w:lang w:val="en-US" w:eastAsia="zh-CN"/>
              </w:rPr>
              <w:t xml:space="preserve">   </w:t>
            </w:r>
            <w:r>
              <w:rPr>
                <w:rStyle w:val="22"/>
                <w:rFonts w:hint="eastAsia" w:ascii="宋体" w:eastAsia="宋体"/>
                <w:color w:val="auto"/>
                <w:sz w:val="24"/>
                <w:szCs w:val="24"/>
                <w:lang w:eastAsia="zh-CN"/>
              </w:rPr>
              <w:t>茫</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Style w:val="22"/>
                <w:rFonts w:ascii="宋体" w:eastAsia="宋体"/>
                <w:color w:val="auto"/>
                <w:sz w:val="24"/>
                <w:szCs w:val="24"/>
              </w:rPr>
            </w:pPr>
            <w:r>
              <w:rPr>
                <w:rStyle w:val="22"/>
                <w:rFonts w:hint="eastAsia" w:ascii="宋体" w:hAnsi="宋体"/>
                <w:color w:val="auto"/>
                <w:sz w:val="24"/>
                <w:szCs w:val="24"/>
                <w:lang w:val="en-US" w:eastAsia="zh-CN"/>
              </w:rPr>
              <w:t>23070006043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仿宋_GB2312"/>
                <w:color w:val="auto"/>
                <w:kern w:val="0"/>
                <w:sz w:val="24"/>
                <w:szCs w:val="24"/>
                <w:lang w:val="en-US" w:eastAsia="zh-CN"/>
              </w:rPr>
            </w:pPr>
            <w:r>
              <w:rPr>
                <w:rFonts w:hint="eastAsia" w:ascii="宋体" w:hAnsi="宋体" w:cs="仿宋_GB2312"/>
                <w:color w:val="auto"/>
                <w:kern w:val="0"/>
                <w:sz w:val="24"/>
                <w:szCs w:val="24"/>
                <w:lang w:val="en-US" w:eastAsia="zh-CN"/>
              </w:rPr>
              <w:t>16</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Style w:val="22"/>
                <w:rFonts w:hint="eastAsia" w:ascii="宋体" w:eastAsia="宋体"/>
                <w:color w:val="auto"/>
                <w:sz w:val="24"/>
                <w:szCs w:val="24"/>
                <w:lang w:eastAsia="zh-CN"/>
              </w:rPr>
            </w:pPr>
            <w:r>
              <w:rPr>
                <w:rStyle w:val="22"/>
                <w:rFonts w:hint="eastAsia" w:ascii="宋体" w:eastAsia="宋体"/>
                <w:color w:val="auto"/>
                <w:sz w:val="24"/>
                <w:szCs w:val="24"/>
                <w:lang w:eastAsia="zh-CN"/>
              </w:rPr>
              <w:t>马</w:t>
            </w:r>
            <w:r>
              <w:rPr>
                <w:rStyle w:val="22"/>
                <w:rFonts w:hint="eastAsia" w:ascii="宋体" w:hAnsi="宋体"/>
                <w:color w:val="auto"/>
                <w:sz w:val="24"/>
                <w:szCs w:val="24"/>
                <w:lang w:val="en-US" w:eastAsia="zh-CN"/>
              </w:rPr>
              <w:t xml:space="preserve">   </w:t>
            </w:r>
            <w:r>
              <w:rPr>
                <w:rStyle w:val="22"/>
                <w:rFonts w:hint="eastAsia" w:ascii="宋体" w:eastAsia="宋体"/>
                <w:color w:val="auto"/>
                <w:sz w:val="24"/>
                <w:szCs w:val="24"/>
                <w:lang w:eastAsia="zh-CN"/>
              </w:rPr>
              <w:t>鹏</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Style w:val="22"/>
                <w:rFonts w:ascii="宋体" w:eastAsia="宋体"/>
                <w:color w:val="auto"/>
                <w:sz w:val="24"/>
                <w:szCs w:val="24"/>
              </w:rPr>
            </w:pPr>
            <w:r>
              <w:rPr>
                <w:rStyle w:val="22"/>
                <w:rFonts w:hint="eastAsia" w:ascii="宋体" w:hAnsi="宋体"/>
                <w:color w:val="auto"/>
                <w:sz w:val="24"/>
                <w:szCs w:val="24"/>
                <w:lang w:val="en-US" w:eastAsia="zh-CN"/>
              </w:rPr>
              <w:t>23070006042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仿宋_GB2312"/>
                <w:color w:val="auto"/>
                <w:kern w:val="0"/>
                <w:sz w:val="24"/>
                <w:szCs w:val="24"/>
                <w:lang w:val="en-US" w:eastAsia="zh-CN"/>
              </w:rPr>
            </w:pPr>
            <w:r>
              <w:rPr>
                <w:rFonts w:hint="eastAsia" w:ascii="宋体" w:hAnsi="宋体" w:cs="仿宋_GB2312"/>
                <w:color w:val="auto"/>
                <w:kern w:val="0"/>
                <w:sz w:val="24"/>
                <w:szCs w:val="24"/>
                <w:lang w:val="en-US" w:eastAsia="zh-CN"/>
              </w:rPr>
              <w:t>17</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Style w:val="22"/>
                <w:rFonts w:hint="eastAsia" w:ascii="宋体" w:eastAsia="宋体"/>
                <w:color w:val="auto"/>
                <w:sz w:val="24"/>
                <w:szCs w:val="24"/>
                <w:lang w:eastAsia="zh-CN"/>
              </w:rPr>
            </w:pPr>
            <w:r>
              <w:rPr>
                <w:rStyle w:val="22"/>
                <w:rFonts w:hint="eastAsia" w:ascii="宋体" w:eastAsia="宋体"/>
                <w:color w:val="auto"/>
                <w:sz w:val="24"/>
                <w:szCs w:val="24"/>
                <w:lang w:eastAsia="zh-CN"/>
              </w:rPr>
              <w:t>王</w:t>
            </w:r>
            <w:r>
              <w:rPr>
                <w:rStyle w:val="22"/>
                <w:rFonts w:hint="eastAsia" w:ascii="宋体" w:hAnsi="宋体"/>
                <w:color w:val="auto"/>
                <w:sz w:val="24"/>
                <w:szCs w:val="24"/>
                <w:lang w:val="en-US" w:eastAsia="zh-CN"/>
              </w:rPr>
              <w:t xml:space="preserve">   </w:t>
            </w:r>
            <w:r>
              <w:rPr>
                <w:rStyle w:val="22"/>
                <w:rFonts w:hint="eastAsia" w:ascii="宋体" w:eastAsia="宋体"/>
                <w:color w:val="auto"/>
                <w:sz w:val="24"/>
                <w:szCs w:val="24"/>
                <w:lang w:eastAsia="zh-CN"/>
              </w:rPr>
              <w:t>尊</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Style w:val="22"/>
                <w:rFonts w:ascii="宋体" w:eastAsia="宋体"/>
                <w:color w:val="auto"/>
                <w:sz w:val="24"/>
                <w:szCs w:val="24"/>
                <w:lang w:val="en-US"/>
              </w:rPr>
            </w:pPr>
            <w:r>
              <w:rPr>
                <w:rStyle w:val="22"/>
                <w:rFonts w:hint="eastAsia" w:ascii="宋体" w:hAnsi="宋体"/>
                <w:color w:val="auto"/>
                <w:sz w:val="24"/>
                <w:szCs w:val="24"/>
                <w:lang w:val="en-US" w:eastAsia="zh-CN"/>
              </w:rPr>
              <w:t>23070006039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仿宋_GB2312"/>
                <w:color w:val="auto"/>
                <w:kern w:val="0"/>
                <w:sz w:val="24"/>
                <w:szCs w:val="24"/>
                <w:lang w:val="en-US" w:eastAsia="zh-CN"/>
              </w:rPr>
            </w:pPr>
            <w:r>
              <w:rPr>
                <w:rFonts w:hint="eastAsia" w:ascii="宋体" w:hAnsi="宋体" w:cs="仿宋_GB2312"/>
                <w:color w:val="auto"/>
                <w:kern w:val="0"/>
                <w:sz w:val="24"/>
                <w:szCs w:val="24"/>
                <w:lang w:val="en-US" w:eastAsia="zh-CN"/>
              </w:rPr>
              <w:t>1</w:t>
            </w:r>
            <w:r>
              <w:rPr>
                <w:rFonts w:ascii="宋体" w:hAnsi="宋体" w:cs="仿宋_GB2312"/>
                <w:color w:val="auto"/>
                <w:kern w:val="0"/>
                <w:sz w:val="24"/>
                <w:szCs w:val="24"/>
                <w:lang w:val="en-US" w:eastAsia="zh-CN"/>
              </w:rPr>
              <w:t>8</w:t>
            </w:r>
          </w:p>
        </w:tc>
        <w:tc>
          <w:tcPr>
            <w:tcW w:w="30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Style w:val="22"/>
                <w:rFonts w:hint="eastAsia" w:ascii="宋体" w:eastAsia="宋体"/>
                <w:color w:val="auto"/>
                <w:sz w:val="24"/>
                <w:szCs w:val="24"/>
                <w:lang w:eastAsia="zh-CN"/>
              </w:rPr>
            </w:pPr>
            <w:r>
              <w:rPr>
                <w:rStyle w:val="22"/>
                <w:rFonts w:hint="eastAsia" w:ascii="宋体" w:eastAsia="宋体"/>
                <w:color w:val="auto"/>
                <w:sz w:val="24"/>
                <w:szCs w:val="24"/>
                <w:lang w:eastAsia="zh-CN"/>
              </w:rPr>
              <w:t>何佳婧</w:t>
            </w:r>
          </w:p>
        </w:tc>
        <w:tc>
          <w:tcPr>
            <w:tcW w:w="39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Style w:val="22"/>
                <w:rFonts w:ascii="宋体" w:eastAsia="宋体"/>
                <w:color w:val="auto"/>
                <w:sz w:val="24"/>
                <w:szCs w:val="24"/>
                <w:lang w:val="en-US" w:eastAsia="zh-CN"/>
              </w:rPr>
            </w:pPr>
            <w:r>
              <w:rPr>
                <w:rStyle w:val="22"/>
                <w:rFonts w:hint="eastAsia" w:ascii="宋体" w:hAnsi="宋体"/>
                <w:color w:val="auto"/>
                <w:sz w:val="24"/>
                <w:szCs w:val="24"/>
                <w:lang w:val="en-US" w:eastAsia="zh-CN"/>
              </w:rPr>
              <w:t>23070006045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仿宋_GB2312"/>
                <w:color w:val="auto"/>
                <w:kern w:val="0"/>
                <w:sz w:val="24"/>
                <w:szCs w:val="24"/>
                <w:lang w:val="en-US" w:eastAsia="zh-CN"/>
              </w:rPr>
            </w:pPr>
            <w:r>
              <w:rPr>
                <w:rFonts w:ascii="宋体" w:hAnsi="宋体" w:cs="仿宋_GB2312"/>
                <w:color w:val="auto"/>
                <w:kern w:val="0"/>
                <w:sz w:val="24"/>
                <w:szCs w:val="24"/>
                <w:lang w:val="en-US" w:eastAsia="zh-CN"/>
              </w:rPr>
              <w:t>19</w:t>
            </w:r>
          </w:p>
        </w:tc>
        <w:tc>
          <w:tcPr>
            <w:tcW w:w="304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Style w:val="22"/>
                <w:rFonts w:ascii="宋体" w:eastAsia="宋体"/>
                <w:color w:val="auto"/>
                <w:sz w:val="24"/>
                <w:szCs w:val="24"/>
                <w:lang w:eastAsia="zh-CN"/>
              </w:rPr>
            </w:pPr>
            <w:r>
              <w:rPr>
                <w:rStyle w:val="22"/>
                <w:rFonts w:ascii="宋体" w:eastAsia="宋体"/>
                <w:color w:val="auto"/>
                <w:sz w:val="24"/>
                <w:szCs w:val="24"/>
                <w:lang w:eastAsia="zh-CN"/>
              </w:rPr>
              <w:t>党乙棋</w:t>
            </w:r>
          </w:p>
        </w:tc>
        <w:tc>
          <w:tcPr>
            <w:tcW w:w="392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Style w:val="22"/>
                <w:rFonts w:ascii="宋体" w:hAnsi="宋体"/>
                <w:color w:val="auto"/>
                <w:sz w:val="24"/>
                <w:szCs w:val="24"/>
                <w:lang w:val="en-US" w:eastAsia="zh-CN"/>
              </w:rPr>
            </w:pPr>
            <w:r>
              <w:rPr>
                <w:rStyle w:val="22"/>
                <w:rFonts w:ascii="宋体" w:hAnsi="宋体"/>
                <w:color w:val="auto"/>
                <w:sz w:val="24"/>
                <w:szCs w:val="24"/>
                <w:lang w:val="en-US" w:eastAsia="zh-CN"/>
              </w:rPr>
              <w:t>23070006029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仿宋_GB2312"/>
                <w:color w:val="auto"/>
                <w:kern w:val="0"/>
                <w:sz w:val="24"/>
                <w:szCs w:val="24"/>
                <w:lang w:val="en-US" w:eastAsia="zh-CN"/>
              </w:rPr>
            </w:pPr>
            <w:r>
              <w:rPr>
                <w:rFonts w:ascii="宋体" w:hAnsi="宋体" w:cs="仿宋_GB2312"/>
                <w:color w:val="auto"/>
                <w:kern w:val="0"/>
                <w:sz w:val="24"/>
                <w:szCs w:val="24"/>
                <w:lang w:val="en-US" w:eastAsia="zh-CN"/>
              </w:rPr>
              <w:t>20</w:t>
            </w:r>
          </w:p>
        </w:tc>
        <w:tc>
          <w:tcPr>
            <w:tcW w:w="304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Style w:val="22"/>
                <w:rFonts w:ascii="宋体" w:eastAsia="宋体"/>
                <w:color w:val="auto"/>
                <w:sz w:val="24"/>
                <w:szCs w:val="24"/>
                <w:lang w:eastAsia="zh-CN"/>
              </w:rPr>
            </w:pPr>
            <w:r>
              <w:rPr>
                <w:rStyle w:val="22"/>
                <w:rFonts w:ascii="宋体" w:eastAsia="宋体"/>
                <w:color w:val="auto"/>
                <w:sz w:val="24"/>
                <w:szCs w:val="24"/>
                <w:lang w:eastAsia="zh-CN"/>
              </w:rPr>
              <w:t>山岚雨</w:t>
            </w:r>
          </w:p>
        </w:tc>
        <w:tc>
          <w:tcPr>
            <w:tcW w:w="392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Style w:val="22"/>
                <w:rFonts w:ascii="宋体" w:hAnsi="宋体"/>
                <w:color w:val="auto"/>
                <w:sz w:val="24"/>
                <w:szCs w:val="24"/>
                <w:lang w:val="en-US" w:eastAsia="zh-CN"/>
              </w:rPr>
            </w:pPr>
            <w:r>
              <w:rPr>
                <w:rStyle w:val="22"/>
                <w:rFonts w:ascii="宋体" w:hAnsi="宋体"/>
                <w:color w:val="auto"/>
                <w:sz w:val="24"/>
                <w:szCs w:val="24"/>
                <w:lang w:val="en-US" w:eastAsia="zh-CN"/>
              </w:rPr>
              <w:t>23070006026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仿宋_GB2312"/>
                <w:color w:val="auto"/>
                <w:kern w:val="0"/>
                <w:sz w:val="24"/>
                <w:szCs w:val="24"/>
                <w:lang w:val="en-US" w:eastAsia="zh-CN"/>
              </w:rPr>
            </w:pPr>
            <w:r>
              <w:rPr>
                <w:rFonts w:ascii="宋体" w:hAnsi="宋体" w:cs="仿宋_GB2312"/>
                <w:color w:val="auto"/>
                <w:kern w:val="0"/>
                <w:sz w:val="24"/>
                <w:szCs w:val="24"/>
                <w:lang w:val="en-US" w:eastAsia="zh-CN"/>
              </w:rPr>
              <w:t>21</w:t>
            </w:r>
          </w:p>
        </w:tc>
        <w:tc>
          <w:tcPr>
            <w:tcW w:w="304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Style w:val="22"/>
                <w:rFonts w:ascii="宋体" w:eastAsia="宋体"/>
                <w:color w:val="auto"/>
                <w:sz w:val="24"/>
                <w:szCs w:val="24"/>
                <w:lang w:eastAsia="zh-CN"/>
              </w:rPr>
            </w:pPr>
            <w:r>
              <w:rPr>
                <w:rStyle w:val="22"/>
                <w:rFonts w:ascii="宋体" w:eastAsia="宋体"/>
                <w:color w:val="auto"/>
                <w:sz w:val="24"/>
                <w:szCs w:val="24"/>
                <w:lang w:eastAsia="zh-CN"/>
              </w:rPr>
              <w:t>夏楚浩</w:t>
            </w:r>
          </w:p>
        </w:tc>
        <w:tc>
          <w:tcPr>
            <w:tcW w:w="392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Style w:val="22"/>
                <w:rFonts w:ascii="宋体" w:hAnsi="宋体"/>
                <w:color w:val="auto"/>
                <w:sz w:val="24"/>
                <w:szCs w:val="24"/>
                <w:lang w:val="en-US" w:eastAsia="zh-CN"/>
              </w:rPr>
            </w:pPr>
            <w:r>
              <w:rPr>
                <w:rStyle w:val="22"/>
                <w:rFonts w:ascii="宋体" w:hAnsi="宋体"/>
                <w:color w:val="auto"/>
                <w:sz w:val="24"/>
                <w:szCs w:val="24"/>
                <w:lang w:val="en-US" w:eastAsia="zh-CN"/>
              </w:rPr>
              <w:t>23070006032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仿宋_GB2312"/>
                <w:color w:val="auto"/>
                <w:kern w:val="0"/>
                <w:sz w:val="24"/>
                <w:szCs w:val="24"/>
                <w:lang w:val="en-US" w:eastAsia="zh-CN"/>
              </w:rPr>
            </w:pPr>
            <w:r>
              <w:rPr>
                <w:rFonts w:ascii="宋体" w:hAnsi="宋体" w:cs="仿宋_GB2312"/>
                <w:color w:val="auto"/>
                <w:kern w:val="0"/>
                <w:sz w:val="24"/>
                <w:szCs w:val="24"/>
                <w:lang w:val="en-US" w:eastAsia="zh-CN"/>
              </w:rPr>
              <w:t>22</w:t>
            </w:r>
          </w:p>
        </w:tc>
        <w:tc>
          <w:tcPr>
            <w:tcW w:w="304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Style w:val="22"/>
                <w:rFonts w:ascii="宋体" w:eastAsia="宋体"/>
                <w:color w:val="auto"/>
                <w:sz w:val="24"/>
                <w:szCs w:val="24"/>
                <w:lang w:eastAsia="zh-CN"/>
              </w:rPr>
            </w:pPr>
            <w:r>
              <w:rPr>
                <w:rStyle w:val="22"/>
                <w:rFonts w:ascii="宋体" w:eastAsia="宋体"/>
                <w:color w:val="auto"/>
                <w:sz w:val="24"/>
                <w:szCs w:val="24"/>
                <w:lang w:eastAsia="zh-CN"/>
              </w:rPr>
              <w:t>梁秋莉</w:t>
            </w:r>
          </w:p>
        </w:tc>
        <w:tc>
          <w:tcPr>
            <w:tcW w:w="392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Style w:val="22"/>
                <w:rFonts w:ascii="宋体" w:hAnsi="宋体"/>
                <w:color w:val="auto"/>
                <w:sz w:val="24"/>
                <w:szCs w:val="24"/>
                <w:lang w:val="en-US" w:eastAsia="zh-CN"/>
              </w:rPr>
            </w:pPr>
            <w:r>
              <w:rPr>
                <w:rStyle w:val="22"/>
                <w:rFonts w:ascii="宋体" w:hAnsi="宋体"/>
                <w:color w:val="auto"/>
                <w:sz w:val="24"/>
                <w:szCs w:val="24"/>
                <w:lang w:val="en-US" w:eastAsia="zh-CN"/>
              </w:rPr>
              <w:t>23070006033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仿宋_GB2312"/>
                <w:color w:val="auto"/>
                <w:kern w:val="0"/>
                <w:sz w:val="24"/>
                <w:szCs w:val="24"/>
                <w:lang w:val="en-US" w:eastAsia="zh-CN"/>
              </w:rPr>
            </w:pPr>
            <w:r>
              <w:rPr>
                <w:rFonts w:ascii="宋体" w:hAnsi="宋体" w:cs="仿宋_GB2312"/>
                <w:color w:val="auto"/>
                <w:kern w:val="0"/>
                <w:sz w:val="24"/>
                <w:szCs w:val="24"/>
                <w:lang w:val="en-US" w:eastAsia="zh-CN"/>
              </w:rPr>
              <w:t>23</w:t>
            </w:r>
          </w:p>
        </w:tc>
        <w:tc>
          <w:tcPr>
            <w:tcW w:w="304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Style w:val="22"/>
                <w:rFonts w:ascii="宋体" w:eastAsia="宋体"/>
                <w:color w:val="auto"/>
                <w:sz w:val="24"/>
                <w:szCs w:val="24"/>
                <w:lang w:eastAsia="zh-CN"/>
              </w:rPr>
            </w:pPr>
            <w:r>
              <w:rPr>
                <w:rStyle w:val="22"/>
                <w:rFonts w:ascii="宋体" w:eastAsia="宋体"/>
                <w:color w:val="auto"/>
                <w:sz w:val="24"/>
                <w:szCs w:val="24"/>
                <w:lang w:eastAsia="zh-CN"/>
              </w:rPr>
              <w:t>张  聪</w:t>
            </w:r>
          </w:p>
        </w:tc>
        <w:tc>
          <w:tcPr>
            <w:tcW w:w="392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Style w:val="22"/>
                <w:rFonts w:ascii="宋体" w:hAnsi="宋体"/>
                <w:color w:val="auto"/>
                <w:sz w:val="24"/>
                <w:szCs w:val="24"/>
                <w:lang w:val="en-US" w:eastAsia="zh-CN"/>
              </w:rPr>
            </w:pPr>
            <w:r>
              <w:rPr>
                <w:rStyle w:val="22"/>
                <w:rFonts w:ascii="宋体" w:hAnsi="宋体"/>
                <w:color w:val="auto"/>
                <w:sz w:val="24"/>
                <w:szCs w:val="24"/>
                <w:lang w:val="en-US" w:eastAsia="zh-CN"/>
              </w:rPr>
              <w:t>23070006040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cs="仿宋_GB2312"/>
                <w:color w:val="auto"/>
                <w:kern w:val="0"/>
                <w:sz w:val="24"/>
                <w:szCs w:val="24"/>
                <w:lang w:val="en-US" w:eastAsia="zh-CN"/>
              </w:rPr>
            </w:pPr>
            <w:r>
              <w:rPr>
                <w:rFonts w:hint="eastAsia" w:ascii="宋体" w:hAnsi="宋体" w:cs="仿宋_GB2312"/>
                <w:color w:val="auto"/>
                <w:kern w:val="0"/>
                <w:sz w:val="24"/>
                <w:szCs w:val="24"/>
                <w:lang w:val="en-US" w:eastAsia="zh-CN"/>
              </w:rPr>
              <w:t>24</w:t>
            </w:r>
          </w:p>
        </w:tc>
        <w:tc>
          <w:tcPr>
            <w:tcW w:w="304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Style w:val="22"/>
                <w:rFonts w:ascii="宋体" w:eastAsia="宋体"/>
                <w:color w:val="auto"/>
                <w:sz w:val="24"/>
                <w:szCs w:val="24"/>
                <w:lang w:eastAsia="zh-CN"/>
              </w:rPr>
            </w:pPr>
            <w:r>
              <w:rPr>
                <w:rStyle w:val="22"/>
                <w:rFonts w:hint="eastAsia" w:ascii="宋体" w:eastAsia="宋体"/>
                <w:color w:val="auto"/>
                <w:sz w:val="24"/>
                <w:szCs w:val="24"/>
                <w:lang w:eastAsia="zh-CN"/>
              </w:rPr>
              <w:t>谭金刚</w:t>
            </w:r>
          </w:p>
        </w:tc>
        <w:tc>
          <w:tcPr>
            <w:tcW w:w="392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Style w:val="22"/>
                <w:rFonts w:ascii="宋体" w:hAnsi="宋体"/>
                <w:color w:val="auto"/>
                <w:sz w:val="24"/>
                <w:szCs w:val="24"/>
                <w:lang w:val="en-US" w:eastAsia="zh-CN"/>
              </w:rPr>
            </w:pPr>
            <w:r>
              <w:rPr>
                <w:rStyle w:val="22"/>
                <w:rFonts w:hint="eastAsia" w:ascii="宋体" w:hAnsi="宋体"/>
                <w:color w:val="auto"/>
                <w:sz w:val="24"/>
                <w:szCs w:val="24"/>
                <w:lang w:val="en-US" w:eastAsia="zh-CN"/>
              </w:rPr>
              <w:t>23070006041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6" w:hRule="atLeast"/>
          <w:jc w:val="center"/>
        </w:trPr>
        <w:tc>
          <w:tcPr>
            <w:tcW w:w="114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cs="仿宋_GB2312"/>
                <w:color w:val="auto"/>
                <w:kern w:val="0"/>
                <w:sz w:val="24"/>
                <w:szCs w:val="24"/>
                <w:lang w:val="en-US" w:eastAsia="zh-CN"/>
              </w:rPr>
            </w:pPr>
            <w:r>
              <w:rPr>
                <w:rFonts w:hint="eastAsia" w:ascii="宋体" w:hAnsi="宋体" w:cs="仿宋_GB2312"/>
                <w:color w:val="auto"/>
                <w:kern w:val="0"/>
                <w:sz w:val="24"/>
                <w:szCs w:val="24"/>
                <w:lang w:val="en-US" w:eastAsia="zh-CN"/>
              </w:rPr>
              <w:t>25</w:t>
            </w:r>
          </w:p>
        </w:tc>
        <w:tc>
          <w:tcPr>
            <w:tcW w:w="304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Style w:val="22"/>
                <w:rFonts w:ascii="宋体" w:eastAsia="宋体"/>
                <w:color w:val="auto"/>
                <w:sz w:val="24"/>
                <w:szCs w:val="24"/>
                <w:lang w:eastAsia="zh-CN"/>
              </w:rPr>
            </w:pPr>
            <w:r>
              <w:rPr>
                <w:rStyle w:val="22"/>
                <w:rFonts w:hint="eastAsia" w:ascii="宋体" w:eastAsia="宋体"/>
                <w:color w:val="auto"/>
                <w:sz w:val="24"/>
                <w:szCs w:val="24"/>
                <w:lang w:eastAsia="zh-CN"/>
              </w:rPr>
              <w:t>王振岚</w:t>
            </w:r>
          </w:p>
        </w:tc>
        <w:tc>
          <w:tcPr>
            <w:tcW w:w="392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Style w:val="22"/>
                <w:rFonts w:ascii="宋体" w:hAnsi="宋体"/>
                <w:color w:val="auto"/>
                <w:sz w:val="24"/>
                <w:szCs w:val="24"/>
                <w:lang w:val="en-US" w:eastAsia="zh-CN"/>
              </w:rPr>
            </w:pPr>
            <w:r>
              <w:rPr>
                <w:rStyle w:val="22"/>
                <w:rFonts w:hint="eastAsia" w:ascii="宋体" w:hAnsi="宋体"/>
                <w:color w:val="auto"/>
                <w:sz w:val="24"/>
                <w:szCs w:val="24"/>
                <w:lang w:val="en-US" w:eastAsia="zh-CN"/>
              </w:rPr>
              <w:t>23070006044</w:t>
            </w:r>
          </w:p>
        </w:tc>
      </w:tr>
    </w:tbl>
    <w:p>
      <w:pPr>
        <w:pStyle w:val="11"/>
        <w:keepNext w:val="0"/>
        <w:keepLines w:val="0"/>
        <w:pageBreakBefore w:val="0"/>
        <w:widowControl w:val="0"/>
        <w:bidi w:val="0"/>
        <w:spacing w:line="560" w:lineRule="exact"/>
        <w:ind w:right="-25" w:firstLine="640" w:firstLineChars="200"/>
        <w:rPr>
          <w:color w:val="auto"/>
        </w:rPr>
      </w:pPr>
    </w:p>
    <w:p>
      <w:pPr>
        <w:spacing w:line="576" w:lineRule="exact"/>
        <w:ind w:firstLine="640" w:firstLineChars="200"/>
        <w:rPr>
          <w:rFonts w:hint="eastAsia" w:ascii="黑体" w:eastAsia="黑体" w:cs="黑体"/>
          <w:color w:val="auto"/>
          <w:sz w:val="32"/>
          <w:szCs w:val="32"/>
        </w:rPr>
      </w:pPr>
      <w:r>
        <w:rPr>
          <w:rFonts w:hint="eastAsia" w:ascii="黑体" w:eastAsia="黑体" w:cs="黑体"/>
          <w:color w:val="auto"/>
          <w:sz w:val="32"/>
          <w:szCs w:val="32"/>
        </w:rPr>
        <w:t>三、广元市经济和信息化局行政权力</w:t>
      </w:r>
      <w:r>
        <w:rPr>
          <w:rFonts w:hint="eastAsia" w:ascii="黑体" w:eastAsia="黑体" w:cs="黑体"/>
          <w:color w:val="auto"/>
          <w:sz w:val="32"/>
          <w:szCs w:val="32"/>
          <w:lang w:eastAsia="zh-CN"/>
        </w:rPr>
        <w:t>和</w:t>
      </w:r>
      <w:r>
        <w:rPr>
          <w:rFonts w:hint="eastAsia" w:ascii="黑体" w:eastAsia="黑体" w:cs="黑体"/>
          <w:color w:val="auto"/>
          <w:sz w:val="32"/>
          <w:szCs w:val="32"/>
        </w:rPr>
        <w:t>责任清单</w:t>
      </w:r>
    </w:p>
    <w:p>
      <w:pPr>
        <w:spacing w:line="576" w:lineRule="exact"/>
        <w:ind w:firstLine="640" w:firstLineChars="200"/>
        <w:rPr>
          <w:rFonts w:ascii="仿宋_GB2312" w:eastAsia="仿宋_GB2312" w:cs="仿宋_GB2312"/>
          <w:color w:val="auto"/>
          <w:kern w:val="2"/>
          <w:sz w:val="32"/>
          <w:szCs w:val="32"/>
          <w:lang w:val="en-US" w:eastAsia="zh-CN" w:bidi="ar-SA"/>
        </w:rPr>
      </w:pPr>
      <w:r>
        <w:rPr>
          <w:rFonts w:ascii="仿宋_GB2312" w:eastAsia="仿宋_GB2312" w:cs="仿宋_GB2312"/>
          <w:color w:val="auto"/>
          <w:kern w:val="2"/>
          <w:sz w:val="32"/>
          <w:szCs w:val="32"/>
          <w:lang w:val="en-US" w:eastAsia="zh-CN" w:bidi="ar-SA"/>
        </w:rPr>
        <w:t xml:space="preserve">广元市经济和信息化局权责清单 </w:t>
      </w:r>
    </w:p>
    <w:p>
      <w:pPr>
        <w:spacing w:line="576" w:lineRule="exact"/>
        <w:ind w:firstLine="640" w:firstLineChars="200"/>
        <w:rPr>
          <w:rStyle w:val="16"/>
          <w:rFonts w:ascii="仿宋_GB2312" w:eastAsia="仿宋_GB2312" w:cs="仿宋_GB2312"/>
          <w:color w:val="auto"/>
          <w:sz w:val="32"/>
          <w:szCs w:val="32"/>
        </w:rPr>
      </w:pPr>
      <w:r>
        <w:rPr>
          <w:rStyle w:val="16"/>
          <w:rFonts w:ascii="仿宋_GB2312" w:eastAsia="仿宋_GB2312" w:cs="仿宋_GB2312"/>
          <w:color w:val="auto"/>
          <w:sz w:val="32"/>
          <w:szCs w:val="32"/>
        </w:rPr>
        <w:fldChar w:fldCharType="begin"/>
      </w:r>
      <w:r>
        <w:rPr>
          <w:color w:val="auto"/>
        </w:rPr>
        <w:instrText xml:space="preserve">HYPERLINK "http://jxj.cngy.gov.cn/gongkai/show/e2a67239-6efa-48dd-85d1-45d173bf9693.html"</w:instrText>
      </w:r>
      <w:r>
        <w:rPr>
          <w:rStyle w:val="16"/>
          <w:rFonts w:ascii="仿宋_GB2312" w:eastAsia="仿宋_GB2312" w:cs="仿宋_GB2312"/>
          <w:color w:val="auto"/>
          <w:sz w:val="32"/>
          <w:szCs w:val="32"/>
        </w:rPr>
        <w:fldChar w:fldCharType="separate"/>
      </w:r>
      <w:r>
        <w:rPr>
          <w:rStyle w:val="16"/>
          <w:rFonts w:ascii="仿宋_GB2312" w:eastAsia="仿宋_GB2312" w:cs="仿宋_GB2312"/>
          <w:color w:val="auto"/>
          <w:sz w:val="32"/>
          <w:szCs w:val="32"/>
        </w:rPr>
        <w:t>http://jxj.cngy.gov.cn/gongkai/show/e2a67239-6efa-48dd-85d1-45d173bf9693.html</w:t>
      </w:r>
      <w:r>
        <w:rPr>
          <w:rStyle w:val="16"/>
          <w:rFonts w:ascii="仿宋_GB2312" w:eastAsia="仿宋_GB2312" w:cs="仿宋_GB2312"/>
          <w:color w:val="auto"/>
          <w:sz w:val="32"/>
          <w:szCs w:val="32"/>
        </w:rPr>
        <w:fldChar w:fldCharType="end"/>
      </w:r>
    </w:p>
    <w:p>
      <w:pPr>
        <w:spacing w:line="576" w:lineRule="exact"/>
        <w:ind w:firstLine="640" w:firstLineChars="200"/>
        <w:rPr>
          <w:rFonts w:hint="eastAsia" w:ascii="黑体" w:eastAsia="黑体" w:cs="黑体"/>
          <w:color w:val="auto"/>
          <w:sz w:val="32"/>
          <w:szCs w:val="32"/>
        </w:rPr>
      </w:pPr>
      <w:r>
        <w:rPr>
          <w:rFonts w:hint="eastAsia" w:ascii="黑体" w:eastAsia="黑体" w:cs="黑体"/>
          <w:color w:val="auto"/>
          <w:sz w:val="32"/>
          <w:szCs w:val="32"/>
          <w:lang w:val="en-US" w:eastAsia="zh-CN"/>
        </w:rPr>
        <w:t>四、广元市经济和信息化局行政执法事项目录</w:t>
      </w:r>
    </w:p>
    <w:tbl>
      <w:tblPr>
        <w:tblStyle w:val="12"/>
        <w:tblW w:w="5825" w:type="pct"/>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671"/>
        <w:gridCol w:w="2468"/>
        <w:gridCol w:w="1402"/>
        <w:gridCol w:w="5781"/>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Calibri" w:hAnsi="Calibri" w:cs="Calibri"/>
                <w:color w:val="auto"/>
                <w:sz w:val="21"/>
                <w:szCs w:val="21"/>
              </w:rPr>
            </w:pPr>
            <w:r>
              <w:rPr>
                <w:rFonts w:ascii="黑体" w:hAnsi="宋体" w:eastAsia="黑体" w:cs="黑体"/>
                <w:i w:val="0"/>
                <w:iCs w:val="0"/>
                <w:caps w:val="0"/>
                <w:color w:val="auto"/>
                <w:spacing w:val="0"/>
                <w:kern w:val="0"/>
                <w:sz w:val="24"/>
                <w:szCs w:val="24"/>
                <w:vertAlign w:val="baseline"/>
                <w:lang w:val="en-US" w:eastAsia="zh-CN" w:bidi="ar"/>
              </w:rPr>
              <w:t>序号</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黑体" w:hAnsi="宋体" w:eastAsia="黑体" w:cs="黑体"/>
                <w:i w:val="0"/>
                <w:iCs w:val="0"/>
                <w:caps w:val="0"/>
                <w:color w:val="auto"/>
                <w:spacing w:val="0"/>
                <w:kern w:val="0"/>
                <w:sz w:val="24"/>
                <w:szCs w:val="24"/>
                <w:vertAlign w:val="baseline"/>
                <w:lang w:val="en-US" w:eastAsia="zh-CN" w:bidi="ar"/>
              </w:rPr>
            </w:pPr>
            <w:r>
              <w:rPr>
                <w:rFonts w:hint="eastAsia" w:ascii="黑体" w:hAnsi="宋体" w:eastAsia="黑体" w:cs="黑体"/>
                <w:i w:val="0"/>
                <w:iCs w:val="0"/>
                <w:caps w:val="0"/>
                <w:color w:val="auto"/>
                <w:spacing w:val="0"/>
                <w:kern w:val="0"/>
                <w:sz w:val="24"/>
                <w:szCs w:val="24"/>
                <w:vertAlign w:val="baseline"/>
                <w:lang w:val="en-US" w:eastAsia="zh-CN" w:bidi="ar"/>
              </w:rPr>
              <w:t>单位</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黑体" w:hAnsi="宋体" w:eastAsia="黑体" w:cs="黑体"/>
                <w:i w:val="0"/>
                <w:iCs w:val="0"/>
                <w:caps w:val="0"/>
                <w:color w:val="auto"/>
                <w:spacing w:val="0"/>
                <w:kern w:val="0"/>
                <w:sz w:val="24"/>
                <w:szCs w:val="24"/>
                <w:vertAlign w:val="baseline"/>
                <w:lang w:val="en-US" w:eastAsia="zh-CN" w:bidi="ar"/>
              </w:rPr>
            </w:pPr>
            <w:r>
              <w:rPr>
                <w:rFonts w:hint="eastAsia" w:ascii="黑体" w:hAnsi="宋体" w:eastAsia="黑体" w:cs="黑体"/>
                <w:i w:val="0"/>
                <w:iCs w:val="0"/>
                <w:caps w:val="0"/>
                <w:color w:val="auto"/>
                <w:spacing w:val="0"/>
                <w:kern w:val="0"/>
                <w:sz w:val="24"/>
                <w:szCs w:val="24"/>
                <w:vertAlign w:val="baseline"/>
                <w:lang w:val="en-US" w:eastAsia="zh-CN" w:bidi="ar"/>
              </w:rPr>
              <w:t>行政执法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黑体" w:hAnsi="宋体" w:eastAsia="黑体" w:cs="黑体"/>
                <w:i w:val="0"/>
                <w:iCs w:val="0"/>
                <w:caps w:val="0"/>
                <w:color w:val="auto"/>
                <w:spacing w:val="0"/>
                <w:kern w:val="0"/>
                <w:sz w:val="24"/>
                <w:szCs w:val="24"/>
                <w:vertAlign w:val="baseline"/>
                <w:lang w:val="en-US" w:eastAsia="zh-CN" w:bidi="ar"/>
              </w:rPr>
              <w:t>类型</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黑体" w:hAnsi="宋体" w:eastAsia="黑体" w:cs="黑体"/>
                <w:i w:val="0"/>
                <w:iCs w:val="0"/>
                <w:caps w:val="0"/>
                <w:color w:val="auto"/>
                <w:spacing w:val="0"/>
                <w:kern w:val="0"/>
                <w:sz w:val="24"/>
                <w:szCs w:val="24"/>
                <w:vertAlign w:val="baseline"/>
                <w:lang w:val="en-US" w:eastAsia="zh-CN" w:bidi="ar"/>
              </w:rPr>
              <w:t>行政执法事项</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ascii="仿宋_GB2312" w:hAnsi="Calibri" w:eastAsia="仿宋_GB2312" w:cs="仿宋_GB2312"/>
                <w:i w:val="0"/>
                <w:iCs w:val="0"/>
                <w:caps w:val="0"/>
                <w:color w:val="auto"/>
                <w:spacing w:val="0"/>
                <w:kern w:val="0"/>
                <w:sz w:val="24"/>
                <w:szCs w:val="24"/>
                <w:vertAlign w:val="baseline"/>
                <w:lang w:val="en-US" w:eastAsia="zh-CN" w:bidi="ar"/>
              </w:rPr>
              <w:t>1</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行政许可</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成品油零售经营资格审批</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2</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行政许可</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企业投资项目核准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3</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行政许可</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固定资产投资项目节能审查（企业技术改造项目）</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4</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行政许可</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在电力设施周围或电力设施保护区内进行可能危及电力设施安全作业的审批</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5</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行政处罚</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对违反节约能源管理有关规定的行政处罚</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6</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行政处罚</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对违反电力设施保护和供用电秩序维护的行政处罚</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7</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行政处罚</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对非食盐定点企业生产或批发食盐的行政处罚</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8</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行政处罚</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对违反规定生产或批发食盐、非食用盐的行政处罚</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9</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行政处罚</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对违反规定购进食盐的行政处罚</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10</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行政处罚</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对未按规定作出食盐或非食用盐标识的行政处罚</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11</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行政处罚</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对食盐定点企业违反规定聘用禁业限制人员的行政处罚</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12</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行政处罚</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对机动车生产企业违反《报废机动车回收管理办法实施细则》第七条第二款规定的行政处罚</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13</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行政处罚</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对企业以分拆项目、隐瞒有关情况或者提供虚假申报材料等不正当手段申请项目核准、备案的行政处罚</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14</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行政处罚</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对企业未依法办理核准手续开工建设或者未按照核准的建设地点、建设规模、建设内容等进行建设；以欺骗、贿赂等不正当手段取得项目核准文件的行政处罚</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15</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行政处罚</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对企业未依法将备案制项目信息或者已备案项目信息变更情况告知备案机关，或者向备案机关提供虚假信息的行政处罚</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16</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行政处罚</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对企业投资建设产业政策禁止投资建设项目的行政处罚</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17</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行政强制</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查封、扣押涉嫌盐业违法行为有关的物品或查封场所</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18</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行政检查</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对法人或者非法人组织从事监控化学品生产、经营、使用以及进出口单位的监控化学品有关情况的监督检查</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19</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行政检查</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对涉盐生产经营有关单位、个人开展监督检查</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20</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行政检查</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民爆物品生产企业安全生产许可监督管理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21</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行政检查</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民用爆炸物品销售许可监督管理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22</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行政奖励</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对维护电力设施安全和反窃电行为的奖励</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23</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行政奖励</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四川民爆行业安全奖励</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32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24</w:t>
            </w:r>
          </w:p>
        </w:tc>
        <w:tc>
          <w:tcPr>
            <w:tcW w:w="1195"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_GB2312" w:hAnsi="Calibri" w:eastAsia="仿宋_GB2312" w:cs="仿宋_GB2312"/>
                <w:i w:val="0"/>
                <w:iCs w:val="0"/>
                <w:caps w:val="0"/>
                <w:color w:val="auto"/>
                <w:spacing w:val="0"/>
                <w:kern w:val="0"/>
                <w:sz w:val="24"/>
                <w:szCs w:val="24"/>
                <w:vertAlign w:val="baseline"/>
                <w:lang w:val="en-US" w:eastAsia="zh-CN" w:bidi="ar"/>
              </w:rPr>
            </w:pPr>
            <w:r>
              <w:rPr>
                <w:rFonts w:hint="eastAsia" w:ascii="仿宋_GB2312" w:cs="仿宋_GB2312"/>
                <w:i w:val="0"/>
                <w:iCs w:val="0"/>
                <w:caps w:val="0"/>
                <w:color w:val="auto"/>
                <w:spacing w:val="0"/>
                <w:kern w:val="0"/>
                <w:sz w:val="24"/>
                <w:szCs w:val="24"/>
                <w:vertAlign w:val="baseline"/>
                <w:lang w:val="en-US" w:eastAsia="zh-CN" w:bidi="ar"/>
              </w:rPr>
              <w:t>广元市经济和信息化局</w:t>
            </w:r>
          </w:p>
        </w:tc>
        <w:tc>
          <w:tcPr>
            <w:tcW w:w="67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lang w:val="en-US"/>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其他行政</w:t>
            </w:r>
            <w:r>
              <w:rPr>
                <w:rFonts w:hint="eastAsia" w:ascii="仿宋_GB2312" w:cs="仿宋_GB2312"/>
                <w:i w:val="0"/>
                <w:iCs w:val="0"/>
                <w:caps w:val="0"/>
                <w:color w:val="auto"/>
                <w:spacing w:val="0"/>
                <w:kern w:val="0"/>
                <w:sz w:val="24"/>
                <w:szCs w:val="24"/>
                <w:vertAlign w:val="baseline"/>
                <w:lang w:val="en-US" w:eastAsia="zh-CN" w:bidi="ar"/>
              </w:rPr>
              <w:t>行为</w:t>
            </w:r>
          </w:p>
        </w:tc>
        <w:tc>
          <w:tcPr>
            <w:tcW w:w="2799" w:type="pct"/>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Calibri" w:hAnsi="Calibri" w:cs="Calibri"/>
                <w:color w:val="auto"/>
                <w:sz w:val="21"/>
                <w:szCs w:val="21"/>
              </w:rPr>
            </w:pPr>
            <w:r>
              <w:rPr>
                <w:rFonts w:hint="eastAsia" w:ascii="仿宋_GB2312" w:hAnsi="Calibri" w:eastAsia="仿宋_GB2312" w:cs="仿宋_GB2312"/>
                <w:i w:val="0"/>
                <w:iCs w:val="0"/>
                <w:caps w:val="0"/>
                <w:color w:val="auto"/>
                <w:spacing w:val="0"/>
                <w:kern w:val="0"/>
                <w:sz w:val="24"/>
                <w:szCs w:val="24"/>
                <w:vertAlign w:val="baseline"/>
                <w:lang w:val="en-US" w:eastAsia="zh-CN" w:bidi="ar"/>
              </w:rPr>
              <w:t>企业投资项目备案</w:t>
            </w:r>
          </w:p>
        </w:tc>
      </w:tr>
    </w:tbl>
    <w:p>
      <w:pPr>
        <w:spacing w:line="576" w:lineRule="exact"/>
        <w:ind w:firstLine="640" w:firstLineChars="200"/>
        <w:rPr>
          <w:rFonts w:hint="eastAsia" w:ascii="黑体" w:eastAsia="黑体" w:cs="黑体"/>
          <w:color w:val="auto"/>
          <w:sz w:val="32"/>
          <w:szCs w:val="32"/>
        </w:rPr>
      </w:pPr>
      <w:r>
        <w:rPr>
          <w:rFonts w:hint="eastAsia" w:ascii="黑体" w:eastAsia="黑体" w:cs="黑体"/>
          <w:color w:val="auto"/>
          <w:sz w:val="32"/>
          <w:szCs w:val="32"/>
          <w:lang w:eastAsia="zh-CN"/>
        </w:rPr>
        <w:t>五</w:t>
      </w:r>
      <w:r>
        <w:rPr>
          <w:rFonts w:hint="eastAsia" w:ascii="黑体" w:eastAsia="黑体" w:cs="黑体"/>
          <w:color w:val="auto"/>
          <w:sz w:val="32"/>
          <w:szCs w:val="32"/>
        </w:rPr>
        <w:t>、广元市经济和信息化局行政执法自由裁量标准</w:t>
      </w:r>
    </w:p>
    <w:p>
      <w:pPr>
        <w:pStyle w:val="11"/>
        <w:spacing w:line="560" w:lineRule="exact"/>
        <w:ind w:firstLine="640" w:firstLineChars="200"/>
        <w:rPr>
          <w:rFonts w:hint="eastAsia" w:eastAsia="仿宋_GB2312"/>
          <w:color w:val="auto"/>
          <w:lang w:eastAsia="zh-CN"/>
        </w:rPr>
      </w:pPr>
      <w:r>
        <w:rPr>
          <w:rFonts w:hint="eastAsia"/>
          <w:color w:val="auto"/>
        </w:rPr>
        <w:t>《四川省经济和信息化厅行政处罚裁量基准表》</w:t>
      </w:r>
      <w:r>
        <w:rPr>
          <w:rFonts w:hint="eastAsia"/>
          <w:color w:val="auto"/>
          <w:lang w:eastAsia="zh-CN"/>
        </w:rPr>
        <w:t>（川经信规〔2024〕1号）</w:t>
      </w:r>
    </w:p>
    <w:p>
      <w:pPr>
        <w:spacing w:line="576" w:lineRule="exact"/>
        <w:ind w:firstLine="640" w:firstLineChars="200"/>
        <w:rPr>
          <w:rFonts w:ascii="黑体" w:eastAsia="黑体" w:cs="黑体"/>
          <w:color w:val="auto"/>
          <w:sz w:val="32"/>
          <w:szCs w:val="32"/>
        </w:rPr>
      </w:pPr>
      <w:r>
        <w:rPr>
          <w:rFonts w:hint="eastAsia" w:ascii="黑体" w:eastAsia="黑体" w:cs="黑体"/>
          <w:color w:val="auto"/>
          <w:sz w:val="32"/>
          <w:szCs w:val="32"/>
          <w:lang w:eastAsia="zh-CN"/>
        </w:rPr>
        <w:t>六</w:t>
      </w:r>
      <w:r>
        <w:rPr>
          <w:rFonts w:hint="eastAsia" w:ascii="黑体" w:eastAsia="黑体" w:cs="黑体"/>
          <w:color w:val="auto"/>
          <w:sz w:val="32"/>
          <w:szCs w:val="32"/>
        </w:rPr>
        <w:t>、广元市经济和信息化局重大行政执法</w:t>
      </w:r>
      <w:r>
        <w:rPr>
          <w:rFonts w:ascii="黑体" w:eastAsia="黑体" w:cs="黑体"/>
          <w:color w:val="auto"/>
          <w:sz w:val="32"/>
          <w:szCs w:val="32"/>
        </w:rPr>
        <w:t>决定</w:t>
      </w:r>
      <w:r>
        <w:rPr>
          <w:rFonts w:hint="eastAsia" w:ascii="黑体" w:eastAsia="黑体" w:cs="黑体"/>
          <w:color w:val="auto"/>
          <w:sz w:val="32"/>
          <w:szCs w:val="32"/>
        </w:rPr>
        <w:t>审核目录清单</w:t>
      </w:r>
    </w:p>
    <w:p>
      <w:pPr>
        <w:spacing w:line="576" w:lineRule="exact"/>
        <w:ind w:firstLine="640" w:firstLineChars="200"/>
        <w:rPr>
          <w:rFonts w:hint="eastAsia" w:ascii="楷体_GB2312" w:eastAsia="楷体_GB2312"/>
          <w:color w:val="auto"/>
          <w:sz w:val="32"/>
          <w:szCs w:val="32"/>
        </w:rPr>
      </w:pPr>
      <w:r>
        <w:rPr>
          <w:rFonts w:hint="eastAsia" w:ascii="楷体_GB2312" w:eastAsia="楷体_GB2312" w:cs="仿宋_GB2312"/>
          <w:b w:val="0"/>
          <w:bCs/>
          <w:color w:val="auto"/>
          <w:sz w:val="32"/>
          <w:szCs w:val="32"/>
        </w:rPr>
        <w:t>（一）</w:t>
      </w:r>
      <w:r>
        <w:rPr>
          <w:rFonts w:hint="eastAsia" w:ascii="楷体_GB2312" w:eastAsia="楷体_GB2312"/>
          <w:b w:val="0"/>
          <w:bCs/>
          <w:color w:val="auto"/>
          <w:sz w:val="32"/>
          <w:szCs w:val="32"/>
        </w:rPr>
        <w:t>重大行政许可：</w:t>
      </w:r>
    </w:p>
    <w:p>
      <w:pPr>
        <w:spacing w:line="576"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1.适用听证的；</w:t>
      </w:r>
    </w:p>
    <w:p>
      <w:pPr>
        <w:spacing w:line="576"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2.变更、撤回、撤销行政许可决定；</w:t>
      </w:r>
    </w:p>
    <w:p>
      <w:pPr>
        <w:spacing w:line="576"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3.法律法规规章和规范性文件规定以及行政机关认定的其他重大行政许可事项。</w:t>
      </w:r>
    </w:p>
    <w:p>
      <w:pPr>
        <w:spacing w:line="576" w:lineRule="exact"/>
        <w:ind w:firstLine="640" w:firstLineChars="200"/>
        <w:rPr>
          <w:rFonts w:hint="eastAsia" w:ascii="楷体_GB2312" w:eastAsia="楷体_GB2312"/>
          <w:b w:val="0"/>
          <w:bCs/>
          <w:color w:val="auto"/>
          <w:sz w:val="32"/>
          <w:szCs w:val="32"/>
        </w:rPr>
      </w:pPr>
      <w:r>
        <w:rPr>
          <w:rFonts w:hint="eastAsia" w:ascii="楷体_GB2312" w:eastAsia="楷体_GB2312"/>
          <w:b w:val="0"/>
          <w:bCs/>
          <w:color w:val="auto"/>
          <w:sz w:val="32"/>
          <w:szCs w:val="32"/>
        </w:rPr>
        <w:t>（二）重大行政处罚：</w:t>
      </w:r>
    </w:p>
    <w:p>
      <w:pPr>
        <w:autoSpaceDN w:val="0"/>
        <w:spacing w:line="576" w:lineRule="exact"/>
        <w:ind w:firstLine="640" w:firstLineChars="200"/>
        <w:rPr>
          <w:rFonts w:hint="eastAsia" w:ascii="仿宋_GB2312" w:eastAsia="仿宋_GB2312" w:cs="仿宋_GB2312"/>
          <w:color w:val="auto"/>
          <w:sz w:val="32"/>
          <w:szCs w:val="32"/>
        </w:rPr>
      </w:pPr>
      <w:r>
        <w:rPr>
          <w:rFonts w:hint="eastAsia" w:ascii="仿宋_GB2312" w:eastAsia="仿宋_GB2312" w:cs="仿宋_GB2312"/>
          <w:color w:val="auto"/>
          <w:sz w:val="32"/>
          <w:szCs w:val="32"/>
        </w:rPr>
        <w:t>1.责令停产停业；</w:t>
      </w:r>
    </w:p>
    <w:p>
      <w:pPr>
        <w:autoSpaceDN w:val="0"/>
        <w:spacing w:line="576" w:lineRule="exact"/>
        <w:ind w:firstLine="640" w:firstLineChars="200"/>
        <w:rPr>
          <w:rFonts w:hint="eastAsia" w:ascii="仿宋_GB2312" w:eastAsia="仿宋_GB2312" w:cs="仿宋_GB2312"/>
          <w:color w:val="auto"/>
          <w:sz w:val="32"/>
          <w:szCs w:val="32"/>
        </w:rPr>
      </w:pPr>
      <w:r>
        <w:rPr>
          <w:rFonts w:hint="eastAsia" w:ascii="仿宋_GB2312" w:eastAsia="仿宋_GB2312" w:cs="仿宋_GB2312"/>
          <w:color w:val="auto"/>
          <w:sz w:val="32"/>
          <w:szCs w:val="32"/>
        </w:rPr>
        <w:t>2.吊销许可证或者执照；</w:t>
      </w:r>
    </w:p>
    <w:p>
      <w:pPr>
        <w:autoSpaceDN w:val="0"/>
        <w:spacing w:line="576" w:lineRule="exact"/>
        <w:ind w:firstLine="640" w:firstLineChars="200"/>
        <w:rPr>
          <w:rFonts w:ascii="仿宋_GB2312" w:eastAsia="仿宋_GB2312" w:cs="仿宋_GB2312"/>
          <w:color w:val="auto"/>
          <w:sz w:val="32"/>
          <w:szCs w:val="32"/>
        </w:rPr>
      </w:pPr>
      <w:r>
        <w:rPr>
          <w:rFonts w:hint="eastAsia" w:ascii="仿宋_GB2312" w:eastAsia="仿宋_GB2312" w:cs="仿宋_GB2312"/>
          <w:color w:val="auto"/>
          <w:sz w:val="32"/>
          <w:szCs w:val="32"/>
        </w:rPr>
        <w:t>3.对个人罚款或者没收财产2000元以上，对法人或者其他组织罚款或者没收财产2万元以上，对在经营活动中的违法行为罚款或者没收财产5万元以上；</w:t>
      </w:r>
    </w:p>
    <w:p>
      <w:pPr>
        <w:autoSpaceDN w:val="0"/>
        <w:spacing w:line="576" w:lineRule="exact"/>
        <w:ind w:firstLine="640" w:firstLineChars="200"/>
        <w:rPr>
          <w:rFonts w:hint="eastAsia" w:ascii="仿宋_GB2312" w:eastAsia="仿宋_GB2312" w:cs="仿宋_GB2312"/>
          <w:color w:val="auto"/>
          <w:sz w:val="32"/>
          <w:szCs w:val="32"/>
        </w:rPr>
      </w:pPr>
      <w:r>
        <w:rPr>
          <w:rFonts w:hint="eastAsia" w:ascii="仿宋_GB2312" w:eastAsia="仿宋_GB2312" w:cs="仿宋_GB2312"/>
          <w:color w:val="auto"/>
          <w:sz w:val="32"/>
          <w:szCs w:val="32"/>
        </w:rPr>
        <w:t>4.减轻行政处罚决定；</w:t>
      </w:r>
    </w:p>
    <w:p>
      <w:pPr>
        <w:autoSpaceDN w:val="0"/>
        <w:spacing w:line="576" w:lineRule="exact"/>
        <w:ind w:firstLine="640" w:firstLineChars="200"/>
        <w:rPr>
          <w:rFonts w:hint="eastAsia" w:ascii="仿宋_GB2312" w:eastAsia="仿宋_GB2312" w:cs="仿宋_GB2312"/>
          <w:color w:val="auto"/>
          <w:sz w:val="32"/>
          <w:szCs w:val="32"/>
        </w:rPr>
      </w:pPr>
      <w:r>
        <w:rPr>
          <w:rFonts w:hint="eastAsia" w:ascii="仿宋_GB2312" w:eastAsia="仿宋_GB2312" w:cs="仿宋_GB2312"/>
          <w:color w:val="auto"/>
          <w:sz w:val="32"/>
          <w:szCs w:val="32"/>
        </w:rPr>
        <w:t>5.</w:t>
      </w:r>
      <w:r>
        <w:rPr>
          <w:rFonts w:hint="eastAsia" w:ascii="仿宋_GB2312" w:eastAsia="仿宋_GB2312"/>
          <w:color w:val="auto"/>
          <w:sz w:val="32"/>
          <w:szCs w:val="32"/>
        </w:rPr>
        <w:t>法律法规规章和规范性文件规定以及行政机关认定的其他重大行政处罚事项</w:t>
      </w:r>
      <w:r>
        <w:rPr>
          <w:rFonts w:hint="eastAsia" w:ascii="仿宋_GB2312" w:eastAsia="仿宋_GB2312" w:cs="仿宋_GB2312"/>
          <w:color w:val="auto"/>
          <w:sz w:val="32"/>
          <w:szCs w:val="32"/>
        </w:rPr>
        <w:t>；</w:t>
      </w:r>
    </w:p>
    <w:p>
      <w:pPr>
        <w:autoSpaceDN/>
        <w:spacing w:line="576" w:lineRule="exact"/>
        <w:ind w:firstLine="640" w:firstLineChars="200"/>
        <w:rPr>
          <w:rFonts w:hint="eastAsia" w:ascii="楷体_GB2312" w:eastAsia="楷体_GB2312" w:cs="仿宋_GB2312"/>
          <w:color w:val="auto"/>
          <w:sz w:val="32"/>
          <w:szCs w:val="32"/>
        </w:rPr>
      </w:pPr>
      <w:r>
        <w:rPr>
          <w:rFonts w:hint="eastAsia" w:ascii="楷体_GB2312" w:eastAsia="楷体_GB2312"/>
          <w:b w:val="0"/>
          <w:bCs/>
          <w:color w:val="auto"/>
          <w:sz w:val="32"/>
          <w:szCs w:val="32"/>
        </w:rPr>
        <w:t>（三）重大行政强制：</w:t>
      </w:r>
    </w:p>
    <w:p>
      <w:pPr>
        <w:autoSpaceDN/>
        <w:spacing w:line="576" w:lineRule="exact"/>
        <w:ind w:firstLine="640" w:firstLineChars="200"/>
        <w:rPr>
          <w:rFonts w:hint="eastAsia" w:ascii="仿宋_GB2312" w:eastAsia="仿宋_GB2312" w:cs="仿宋_GB2312"/>
          <w:color w:val="auto"/>
          <w:sz w:val="32"/>
          <w:szCs w:val="32"/>
        </w:rPr>
      </w:pPr>
      <w:r>
        <w:rPr>
          <w:rFonts w:hint="eastAsia" w:ascii="仿宋_GB2312" w:eastAsia="仿宋_GB2312" w:cs="仿宋_GB2312"/>
          <w:color w:val="auto"/>
          <w:sz w:val="32"/>
          <w:szCs w:val="32"/>
        </w:rPr>
        <w:t>1.查封经营场所使法人或者其他组织的生产经营活动、工作难以正常进行的行政强制措施；</w:t>
      </w:r>
    </w:p>
    <w:p>
      <w:pPr>
        <w:autoSpaceDN/>
        <w:spacing w:line="576" w:lineRule="exact"/>
        <w:ind w:firstLine="640" w:firstLineChars="200"/>
        <w:rPr>
          <w:rFonts w:hint="eastAsia" w:ascii="仿宋_GB2312" w:eastAsia="仿宋_GB2312" w:cs="仿宋_GB2312"/>
          <w:color w:val="auto"/>
          <w:sz w:val="32"/>
          <w:szCs w:val="32"/>
        </w:rPr>
      </w:pPr>
      <w:r>
        <w:rPr>
          <w:rFonts w:hint="eastAsia" w:ascii="仿宋_GB2312" w:eastAsia="仿宋_GB2312" w:cs="仿宋_GB2312"/>
          <w:color w:val="auto"/>
          <w:sz w:val="32"/>
          <w:szCs w:val="32"/>
        </w:rPr>
        <w:t>2.</w:t>
      </w:r>
      <w:r>
        <w:rPr>
          <w:rFonts w:hint="eastAsia" w:ascii="仿宋_GB2312" w:eastAsia="仿宋_GB2312"/>
          <w:color w:val="auto"/>
          <w:sz w:val="32"/>
          <w:szCs w:val="32"/>
        </w:rPr>
        <w:t>法律法规规章和规范性文件规定以及行政机关认定的其他重大行政强制事项</w:t>
      </w:r>
      <w:r>
        <w:rPr>
          <w:rFonts w:hint="eastAsia" w:ascii="仿宋_GB2312" w:eastAsia="仿宋_GB2312" w:cs="仿宋_GB2312"/>
          <w:color w:val="auto"/>
          <w:sz w:val="32"/>
          <w:szCs w:val="32"/>
        </w:rPr>
        <w:t>；</w:t>
      </w:r>
    </w:p>
    <w:p>
      <w:pPr>
        <w:spacing w:line="576" w:lineRule="exact"/>
        <w:ind w:firstLine="640" w:firstLineChars="200"/>
        <w:rPr>
          <w:rFonts w:hint="eastAsia" w:ascii="黑体" w:eastAsia="黑体" w:cs="黑体"/>
          <w:color w:val="auto"/>
          <w:sz w:val="32"/>
          <w:szCs w:val="32"/>
        </w:rPr>
      </w:pPr>
      <w:r>
        <w:rPr>
          <w:rFonts w:hint="eastAsia" w:ascii="黑体" w:eastAsia="黑体" w:cs="黑体"/>
          <w:color w:val="auto"/>
          <w:sz w:val="32"/>
          <w:szCs w:val="32"/>
          <w:lang w:eastAsia="zh-CN"/>
        </w:rPr>
        <w:t>七</w:t>
      </w:r>
      <w:r>
        <w:rPr>
          <w:rFonts w:hint="eastAsia" w:ascii="黑体" w:eastAsia="黑体" w:cs="黑体"/>
          <w:color w:val="auto"/>
          <w:sz w:val="32"/>
          <w:szCs w:val="32"/>
        </w:rPr>
        <w:t>、广元市经济和信息化局随机抽查事项清单、市场主体库、202</w:t>
      </w:r>
      <w:r>
        <w:rPr>
          <w:rFonts w:hint="eastAsia" w:ascii="黑体" w:eastAsia="黑体" w:cs="黑体"/>
          <w:color w:val="auto"/>
          <w:sz w:val="32"/>
          <w:szCs w:val="32"/>
          <w:lang w:val="en-US" w:eastAsia="zh-CN"/>
        </w:rPr>
        <w:t>4</w:t>
      </w:r>
      <w:r>
        <w:rPr>
          <w:rFonts w:hint="eastAsia" w:ascii="黑体" w:eastAsia="黑体" w:cs="黑体"/>
          <w:color w:val="auto"/>
          <w:sz w:val="32"/>
          <w:szCs w:val="32"/>
        </w:rPr>
        <w:t>年</w:t>
      </w:r>
      <w:r>
        <w:rPr>
          <w:rFonts w:hint="eastAsia" w:ascii="黑体" w:eastAsia="黑体" w:cs="黑体"/>
          <w:color w:val="auto"/>
          <w:sz w:val="32"/>
          <w:szCs w:val="32"/>
          <w:lang w:eastAsia="zh-CN"/>
        </w:rPr>
        <w:t>“双随机、一公开”</w:t>
      </w:r>
      <w:r>
        <w:rPr>
          <w:rFonts w:hint="eastAsia" w:ascii="黑体" w:eastAsia="黑体" w:cs="黑体"/>
          <w:color w:val="auto"/>
          <w:sz w:val="32"/>
          <w:szCs w:val="32"/>
        </w:rPr>
        <w:t>抽查计划</w:t>
      </w:r>
    </w:p>
    <w:p>
      <w:pPr>
        <w:spacing w:line="576" w:lineRule="exact"/>
        <w:ind w:firstLine="640" w:firstLineChars="200"/>
        <w:rPr>
          <w:rFonts w:hint="eastAsia" w:ascii="楷体_GB2312" w:eastAsia="楷体_GB2312" w:cs="仿宋_GB2312"/>
          <w:b w:val="0"/>
          <w:bCs/>
          <w:color w:val="auto"/>
          <w:sz w:val="32"/>
          <w:szCs w:val="32"/>
        </w:rPr>
      </w:pPr>
      <w:r>
        <w:rPr>
          <w:rFonts w:ascii="楷体_GB2312" w:eastAsia="楷体_GB2312" w:cs="仿宋_GB2312"/>
          <w:b w:val="0"/>
          <w:bCs/>
          <w:color w:val="auto"/>
          <w:sz w:val="32"/>
          <w:szCs w:val="32"/>
        </w:rPr>
        <w:t>（一）</w:t>
      </w:r>
      <w:r>
        <w:rPr>
          <w:rFonts w:hint="eastAsia" w:ascii="楷体_GB2312" w:eastAsia="楷体_GB2312" w:cs="仿宋_GB2312"/>
          <w:b w:val="0"/>
          <w:bCs/>
          <w:color w:val="auto"/>
          <w:sz w:val="32"/>
          <w:szCs w:val="32"/>
        </w:rPr>
        <w:t>随机抽查事项清单</w:t>
      </w:r>
    </w:p>
    <w:tbl>
      <w:tblPr>
        <w:tblStyle w:val="12"/>
        <w:tblW w:w="57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9"/>
        <w:gridCol w:w="796"/>
        <w:gridCol w:w="1697"/>
        <w:gridCol w:w="1363"/>
        <w:gridCol w:w="969"/>
        <w:gridCol w:w="3731"/>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blHeader/>
          <w:jc w:val="center"/>
        </w:trPr>
        <w:tc>
          <w:tcPr>
            <w:tcW w:w="273" w:type="pct"/>
            <w:tcBorders>
              <w:tl2br w:val="nil"/>
              <w:tr2bl w:val="nil"/>
            </w:tcBorders>
            <w:shd w:val="clear" w:color="auto" w:fill="FFFFFF"/>
            <w:vAlign w:val="center"/>
          </w:tcPr>
          <w:p>
            <w:pPr>
              <w:widowControl/>
              <w:spacing w:line="220" w:lineRule="exact"/>
              <w:jc w:val="center"/>
              <w:textAlignment w:val="center"/>
              <w:rPr>
                <w:rFonts w:hint="eastAsia" w:ascii="黑体" w:eastAsia="黑体" w:cs="黑体"/>
                <w:color w:val="auto"/>
                <w:kern w:val="0"/>
                <w:sz w:val="24"/>
                <w:szCs w:val="24"/>
                <w:lang w:bidi="ar-SA"/>
              </w:rPr>
            </w:pPr>
            <w:r>
              <w:rPr>
                <w:rFonts w:hint="eastAsia" w:ascii="黑体" w:eastAsia="黑体" w:cs="黑体"/>
                <w:color w:val="auto"/>
                <w:kern w:val="0"/>
                <w:sz w:val="24"/>
                <w:szCs w:val="24"/>
                <w:lang w:bidi="ar-SA"/>
              </w:rPr>
              <w:t>序号</w:t>
            </w:r>
          </w:p>
        </w:tc>
        <w:tc>
          <w:tcPr>
            <w:tcW w:w="382" w:type="pct"/>
            <w:tcBorders>
              <w:tl2br w:val="nil"/>
              <w:tr2bl w:val="nil"/>
            </w:tcBorders>
            <w:shd w:val="clear" w:color="auto" w:fill="FFFFFF"/>
            <w:vAlign w:val="center"/>
          </w:tcPr>
          <w:p>
            <w:pPr>
              <w:widowControl/>
              <w:spacing w:line="220" w:lineRule="exact"/>
              <w:jc w:val="center"/>
              <w:textAlignment w:val="center"/>
              <w:rPr>
                <w:rFonts w:hint="eastAsia" w:ascii="黑体" w:eastAsia="黑体" w:cs="黑体"/>
                <w:color w:val="auto"/>
                <w:kern w:val="0"/>
                <w:sz w:val="24"/>
                <w:szCs w:val="24"/>
                <w:lang w:bidi="ar-SA"/>
              </w:rPr>
            </w:pPr>
            <w:r>
              <w:rPr>
                <w:rFonts w:hint="eastAsia" w:ascii="黑体" w:eastAsia="黑体" w:cs="黑体"/>
                <w:color w:val="auto"/>
                <w:kern w:val="0"/>
                <w:sz w:val="24"/>
                <w:szCs w:val="24"/>
                <w:lang w:bidi="ar-SA"/>
              </w:rPr>
              <w:t>抽查类别</w:t>
            </w:r>
          </w:p>
        </w:tc>
        <w:tc>
          <w:tcPr>
            <w:tcW w:w="814" w:type="pct"/>
            <w:vAlign w:val="center"/>
          </w:tcPr>
          <w:p>
            <w:pPr>
              <w:widowControl/>
              <w:spacing w:line="220" w:lineRule="exact"/>
              <w:jc w:val="center"/>
              <w:textAlignment w:val="center"/>
              <w:rPr>
                <w:rFonts w:hint="eastAsia" w:ascii="黑体" w:eastAsia="黑体" w:cs="黑体"/>
                <w:color w:val="auto"/>
                <w:kern w:val="0"/>
                <w:sz w:val="24"/>
                <w:szCs w:val="24"/>
                <w:lang w:bidi="ar-SA"/>
              </w:rPr>
            </w:pPr>
            <w:r>
              <w:rPr>
                <w:rFonts w:hint="eastAsia" w:ascii="黑体" w:eastAsia="黑体" w:cs="黑体"/>
                <w:color w:val="auto"/>
                <w:kern w:val="0"/>
                <w:sz w:val="24"/>
                <w:szCs w:val="24"/>
                <w:lang w:bidi="ar-SA"/>
              </w:rPr>
              <w:t>抽查事项</w:t>
            </w:r>
          </w:p>
        </w:tc>
        <w:tc>
          <w:tcPr>
            <w:tcW w:w="654" w:type="pct"/>
            <w:vAlign w:val="center"/>
          </w:tcPr>
          <w:p>
            <w:pPr>
              <w:widowControl/>
              <w:spacing w:line="220" w:lineRule="exact"/>
              <w:jc w:val="center"/>
              <w:textAlignment w:val="center"/>
              <w:rPr>
                <w:rFonts w:hint="eastAsia" w:ascii="黑体" w:eastAsia="黑体" w:cs="黑体"/>
                <w:color w:val="auto"/>
                <w:kern w:val="0"/>
                <w:sz w:val="24"/>
                <w:szCs w:val="24"/>
                <w:lang w:bidi="ar-SA"/>
              </w:rPr>
            </w:pPr>
            <w:r>
              <w:rPr>
                <w:rFonts w:hint="eastAsia" w:ascii="黑体" w:eastAsia="黑体" w:cs="黑体"/>
                <w:color w:val="auto"/>
                <w:kern w:val="0"/>
                <w:sz w:val="24"/>
                <w:szCs w:val="24"/>
                <w:lang w:bidi="ar-SA"/>
              </w:rPr>
              <w:t>检查对象</w:t>
            </w:r>
          </w:p>
        </w:tc>
        <w:tc>
          <w:tcPr>
            <w:tcW w:w="465" w:type="pct"/>
            <w:vAlign w:val="center"/>
          </w:tcPr>
          <w:p>
            <w:pPr>
              <w:widowControl/>
              <w:spacing w:line="220" w:lineRule="exact"/>
              <w:jc w:val="center"/>
              <w:textAlignment w:val="center"/>
              <w:rPr>
                <w:rFonts w:hint="eastAsia" w:ascii="黑体" w:eastAsia="黑体" w:cs="黑体"/>
                <w:color w:val="auto"/>
                <w:kern w:val="0"/>
                <w:sz w:val="24"/>
                <w:szCs w:val="24"/>
                <w:lang w:bidi="ar-SA"/>
              </w:rPr>
            </w:pPr>
            <w:r>
              <w:rPr>
                <w:rFonts w:hint="eastAsia" w:ascii="黑体" w:eastAsia="黑体" w:cs="黑体"/>
                <w:color w:val="auto"/>
                <w:kern w:val="0"/>
                <w:sz w:val="24"/>
                <w:szCs w:val="24"/>
                <w:lang w:bidi="ar-SA"/>
              </w:rPr>
              <w:t>检查方式</w:t>
            </w:r>
          </w:p>
        </w:tc>
        <w:tc>
          <w:tcPr>
            <w:tcW w:w="1791" w:type="pct"/>
            <w:vAlign w:val="center"/>
          </w:tcPr>
          <w:p>
            <w:pPr>
              <w:widowControl/>
              <w:spacing w:line="220" w:lineRule="exact"/>
              <w:ind w:firstLine="840" w:firstLineChars="350"/>
              <w:textAlignment w:val="center"/>
              <w:rPr>
                <w:rFonts w:hint="eastAsia" w:ascii="黑体" w:eastAsia="黑体" w:cs="黑体"/>
                <w:color w:val="auto"/>
                <w:kern w:val="0"/>
                <w:sz w:val="24"/>
                <w:szCs w:val="24"/>
                <w:lang w:bidi="ar-SA"/>
              </w:rPr>
            </w:pPr>
            <w:r>
              <w:rPr>
                <w:rFonts w:hint="eastAsia" w:ascii="黑体" w:eastAsia="黑体" w:cs="黑体"/>
                <w:color w:val="auto"/>
                <w:kern w:val="0"/>
                <w:sz w:val="24"/>
                <w:szCs w:val="24"/>
                <w:lang w:bidi="ar-SA"/>
              </w:rPr>
              <w:t>检查依据</w:t>
            </w:r>
          </w:p>
        </w:tc>
        <w:tc>
          <w:tcPr>
            <w:tcW w:w="618" w:type="pct"/>
            <w:vAlign w:val="center"/>
          </w:tcPr>
          <w:p>
            <w:pPr>
              <w:widowControl/>
              <w:spacing w:line="220" w:lineRule="exact"/>
              <w:jc w:val="center"/>
              <w:textAlignment w:val="center"/>
              <w:rPr>
                <w:rFonts w:hint="eastAsia" w:ascii="黑体" w:eastAsia="黑体" w:cs="黑体"/>
                <w:color w:val="auto"/>
                <w:kern w:val="0"/>
                <w:sz w:val="24"/>
                <w:szCs w:val="24"/>
                <w:lang w:bidi="ar-SA"/>
              </w:rPr>
            </w:pPr>
            <w:r>
              <w:rPr>
                <w:rFonts w:hint="eastAsia" w:ascii="黑体" w:eastAsia="黑体" w:cs="黑体"/>
                <w:color w:val="auto"/>
                <w:kern w:val="0"/>
                <w:sz w:val="24"/>
                <w:szCs w:val="24"/>
                <w:lang w:bidi="ar-SA"/>
              </w:rPr>
              <w:t>责任科室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273" w:type="pct"/>
            <w:vAlign w:val="center"/>
          </w:tcPr>
          <w:p>
            <w:pPr>
              <w:numPr>
                <w:ilvl w:val="0"/>
                <w:numId w:val="2"/>
              </w:numPr>
              <w:spacing w:line="300" w:lineRule="exact"/>
              <w:jc w:val="center"/>
              <w:rPr>
                <w:rFonts w:hint="eastAsia" w:ascii="宋体" w:hAnsi="宋体" w:cs="宋体"/>
                <w:color w:val="auto"/>
                <w:sz w:val="24"/>
                <w:szCs w:val="24"/>
                <w:lang w:bidi="ar-SA"/>
              </w:rPr>
            </w:pPr>
          </w:p>
        </w:tc>
        <w:tc>
          <w:tcPr>
            <w:tcW w:w="382" w:type="pct"/>
            <w:vAlign w:val="center"/>
          </w:tcPr>
          <w:p>
            <w:pPr>
              <w:spacing w:line="240" w:lineRule="exact"/>
              <w:jc w:val="left"/>
              <w:textAlignment w:val="center"/>
              <w:rPr>
                <w:rFonts w:hint="eastAsia" w:ascii="宋体" w:hAnsi="宋体" w:cs="宋体"/>
                <w:color w:val="auto"/>
                <w:kern w:val="0"/>
                <w:sz w:val="24"/>
                <w:szCs w:val="24"/>
                <w:lang w:bidi="ar-SA"/>
              </w:rPr>
            </w:pPr>
            <w:r>
              <w:rPr>
                <w:rFonts w:hint="eastAsia" w:ascii="宋体" w:hAnsi="宋体" w:cs="宋体"/>
                <w:color w:val="auto"/>
                <w:kern w:val="0"/>
                <w:sz w:val="24"/>
                <w:szCs w:val="24"/>
                <w:lang w:bidi="ar-SA"/>
              </w:rPr>
              <w:t>成品油市场抽查检查</w:t>
            </w:r>
          </w:p>
        </w:tc>
        <w:tc>
          <w:tcPr>
            <w:tcW w:w="814" w:type="pct"/>
            <w:vAlign w:val="center"/>
          </w:tcPr>
          <w:p>
            <w:pPr>
              <w:spacing w:line="240" w:lineRule="exact"/>
              <w:jc w:val="center"/>
              <w:textAlignment w:val="center"/>
              <w:rPr>
                <w:rFonts w:hint="eastAsia" w:ascii="宋体" w:hAnsi="宋体" w:cs="宋体"/>
                <w:color w:val="auto"/>
                <w:kern w:val="0"/>
                <w:sz w:val="24"/>
                <w:szCs w:val="24"/>
                <w:lang w:bidi="ar-SA"/>
              </w:rPr>
            </w:pPr>
            <w:r>
              <w:rPr>
                <w:rFonts w:hint="eastAsia" w:ascii="宋体" w:hAnsi="宋体" w:cs="宋体"/>
                <w:color w:val="auto"/>
                <w:kern w:val="0"/>
                <w:sz w:val="24"/>
                <w:szCs w:val="24"/>
                <w:lang w:bidi="ar-SA"/>
              </w:rPr>
              <w:t>对成品油企业经营活动情况的检查</w:t>
            </w:r>
          </w:p>
        </w:tc>
        <w:tc>
          <w:tcPr>
            <w:tcW w:w="654" w:type="pct"/>
            <w:vAlign w:val="center"/>
          </w:tcPr>
          <w:p>
            <w:pPr>
              <w:spacing w:line="240" w:lineRule="exact"/>
              <w:jc w:val="left"/>
              <w:textAlignment w:val="center"/>
              <w:rPr>
                <w:rFonts w:hint="eastAsia" w:ascii="宋体" w:hAnsi="宋体" w:cs="宋体"/>
                <w:color w:val="auto"/>
                <w:kern w:val="0"/>
                <w:sz w:val="24"/>
                <w:szCs w:val="24"/>
                <w:lang w:bidi="ar-SA"/>
              </w:rPr>
            </w:pPr>
            <w:r>
              <w:rPr>
                <w:rFonts w:hint="eastAsia" w:ascii="宋体" w:hAnsi="宋体" w:cs="宋体"/>
                <w:color w:val="auto"/>
                <w:kern w:val="0"/>
                <w:sz w:val="24"/>
                <w:szCs w:val="24"/>
                <w:lang w:bidi="ar-SA"/>
              </w:rPr>
              <w:t>成品油批发、零售、仓储经营单位</w:t>
            </w:r>
          </w:p>
        </w:tc>
        <w:tc>
          <w:tcPr>
            <w:tcW w:w="465" w:type="pct"/>
            <w:vAlign w:val="center"/>
          </w:tcPr>
          <w:p>
            <w:pPr>
              <w:spacing w:line="240" w:lineRule="exact"/>
              <w:jc w:val="center"/>
              <w:textAlignment w:val="center"/>
              <w:rPr>
                <w:rFonts w:hint="eastAsia" w:ascii="宋体" w:hAnsi="宋体" w:cs="宋体"/>
                <w:color w:val="auto"/>
                <w:kern w:val="0"/>
                <w:sz w:val="24"/>
                <w:szCs w:val="24"/>
                <w:lang w:bidi="ar-SA"/>
              </w:rPr>
            </w:pPr>
            <w:r>
              <w:rPr>
                <w:rFonts w:hint="eastAsia" w:ascii="宋体" w:hAnsi="宋体" w:cs="宋体"/>
                <w:color w:val="auto"/>
                <w:kern w:val="0"/>
                <w:sz w:val="24"/>
                <w:szCs w:val="24"/>
                <w:lang w:bidi="ar-SA"/>
              </w:rPr>
              <w:t>现场检查</w:t>
            </w:r>
          </w:p>
        </w:tc>
        <w:tc>
          <w:tcPr>
            <w:tcW w:w="1791" w:type="pct"/>
            <w:vAlign w:val="center"/>
          </w:tcPr>
          <w:p>
            <w:pPr>
              <w:spacing w:line="300" w:lineRule="exact"/>
              <w:jc w:val="left"/>
              <w:textAlignment w:val="center"/>
              <w:rPr>
                <w:rFonts w:hint="eastAsia" w:ascii="宋体" w:hAnsi="宋体" w:cs="宋体"/>
                <w:color w:val="auto"/>
                <w:kern w:val="0"/>
                <w:sz w:val="24"/>
                <w:szCs w:val="24"/>
                <w:lang w:bidi="ar-SA"/>
              </w:rPr>
            </w:pPr>
            <w:r>
              <w:rPr>
                <w:rFonts w:hint="eastAsia" w:ascii="宋体" w:hAnsi="宋体" w:cs="宋体"/>
                <w:color w:val="auto"/>
                <w:kern w:val="0"/>
                <w:sz w:val="24"/>
                <w:szCs w:val="24"/>
                <w:lang w:bidi="ar-SA"/>
              </w:rPr>
              <w:t>《四川省成品油零售经营资格管理暂行规定》第十八条 各级经信部门应当依据本地石油成品油流通管理相关规定，加强对本辖区原油、成品油流通企业的监督检查，要求原油成品油批发、仓储企业建立购销和出入库台账制度，完善油品来源、销售去向、检验报告、检查记录等凭证材料档案。各级经信部门开展“双随机、一公开”监管，重点检查企业台账制度建立执行情况，发现违法违规行为依法处理或者提请有关部门予以查处，并将查处情况向社会公开，对检查中存在问题的企业下达整改通知书，不属于经信部门职责的，应及时将企业违法违规行为通报相关职能部门,并配合相关部门做好查处工作。</w:t>
            </w:r>
          </w:p>
        </w:tc>
        <w:tc>
          <w:tcPr>
            <w:tcW w:w="618" w:type="pct"/>
            <w:vAlign w:val="center"/>
          </w:tcPr>
          <w:p>
            <w:pPr>
              <w:spacing w:line="260" w:lineRule="exact"/>
              <w:jc w:val="center"/>
              <w:textAlignment w:val="center"/>
              <w:rPr>
                <w:rFonts w:hint="eastAsia" w:ascii="宋体" w:hAnsi="宋体" w:cs="宋体"/>
                <w:color w:val="auto"/>
                <w:kern w:val="0"/>
                <w:sz w:val="24"/>
                <w:szCs w:val="24"/>
                <w:lang w:bidi="ar-SA"/>
              </w:rPr>
            </w:pPr>
            <w:r>
              <w:rPr>
                <w:rFonts w:hint="eastAsia" w:ascii="宋体" w:hAnsi="宋体" w:cs="宋体"/>
                <w:color w:val="auto"/>
                <w:kern w:val="0"/>
                <w:sz w:val="24"/>
                <w:szCs w:val="24"/>
                <w:lang w:bidi="ar-SA"/>
              </w:rPr>
              <w:t>电力与油气管理科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jc w:val="center"/>
        </w:trPr>
        <w:tc>
          <w:tcPr>
            <w:tcW w:w="273" w:type="pct"/>
            <w:vAlign w:val="center"/>
          </w:tcPr>
          <w:p>
            <w:pPr>
              <w:numPr>
                <w:ilvl w:val="0"/>
                <w:numId w:val="2"/>
              </w:numPr>
              <w:spacing w:line="300" w:lineRule="exact"/>
              <w:jc w:val="center"/>
              <w:rPr>
                <w:rFonts w:hint="eastAsia" w:ascii="宋体" w:hAnsi="宋体" w:cs="宋体"/>
                <w:color w:val="auto"/>
                <w:sz w:val="24"/>
                <w:szCs w:val="24"/>
                <w:lang w:bidi="ar-SA"/>
              </w:rPr>
            </w:pPr>
          </w:p>
        </w:tc>
        <w:tc>
          <w:tcPr>
            <w:tcW w:w="382" w:type="pct"/>
            <w:vAlign w:val="center"/>
          </w:tcPr>
          <w:p>
            <w:pPr>
              <w:widowControl/>
              <w:spacing w:line="300" w:lineRule="exact"/>
              <w:jc w:val="left"/>
              <w:textAlignment w:val="center"/>
              <w:rPr>
                <w:rFonts w:hint="eastAsia" w:ascii="宋体" w:hAnsi="宋体" w:cs="宋体"/>
                <w:color w:val="auto"/>
                <w:sz w:val="24"/>
                <w:szCs w:val="24"/>
                <w:lang w:bidi="ar-SA"/>
              </w:rPr>
            </w:pPr>
            <w:r>
              <w:rPr>
                <w:rFonts w:hint="eastAsia" w:ascii="宋体" w:hAnsi="宋体" w:cs="宋体"/>
                <w:color w:val="auto"/>
                <w:kern w:val="0"/>
                <w:sz w:val="24"/>
                <w:szCs w:val="24"/>
                <w:lang w:bidi="ar-SA"/>
              </w:rPr>
              <w:t>盐业市场抽查检查</w:t>
            </w:r>
          </w:p>
        </w:tc>
        <w:tc>
          <w:tcPr>
            <w:tcW w:w="814" w:type="pct"/>
            <w:vAlign w:val="center"/>
          </w:tcPr>
          <w:p>
            <w:pPr>
              <w:spacing w:line="240" w:lineRule="exact"/>
              <w:rPr>
                <w:rFonts w:hint="eastAsia" w:ascii="宋体" w:hAnsi="宋体" w:cs="宋体"/>
                <w:color w:val="auto"/>
                <w:sz w:val="24"/>
                <w:szCs w:val="24"/>
                <w:lang w:bidi="ar-SA"/>
              </w:rPr>
            </w:pPr>
            <w:r>
              <w:rPr>
                <w:rFonts w:hint="eastAsia" w:ascii="宋体" w:hAnsi="宋体" w:cs="宋体"/>
                <w:color w:val="auto"/>
                <w:kern w:val="0"/>
                <w:sz w:val="24"/>
                <w:szCs w:val="24"/>
                <w:lang w:bidi="ar-SA"/>
              </w:rPr>
              <w:t>对食盐经营主体经营状况及非食用盐管理情况的检查</w:t>
            </w:r>
          </w:p>
        </w:tc>
        <w:tc>
          <w:tcPr>
            <w:tcW w:w="654" w:type="pct"/>
            <w:vAlign w:val="center"/>
          </w:tcPr>
          <w:p>
            <w:pPr>
              <w:spacing w:line="240" w:lineRule="exact"/>
              <w:jc w:val="left"/>
              <w:rPr>
                <w:rFonts w:hint="eastAsia" w:ascii="宋体" w:hAnsi="宋体" w:cs="宋体"/>
                <w:color w:val="auto"/>
                <w:sz w:val="24"/>
                <w:szCs w:val="24"/>
                <w:lang w:bidi="ar-SA"/>
              </w:rPr>
            </w:pPr>
            <w:r>
              <w:rPr>
                <w:rFonts w:hint="eastAsia" w:ascii="宋体" w:hAnsi="宋体" w:cs="宋体"/>
                <w:color w:val="auto"/>
                <w:kern w:val="0"/>
                <w:sz w:val="24"/>
                <w:szCs w:val="24"/>
                <w:lang w:bidi="ar-SA"/>
              </w:rPr>
              <w:t>食盐定点批发企业、食盐零售单位和用盐单位</w:t>
            </w:r>
          </w:p>
        </w:tc>
        <w:tc>
          <w:tcPr>
            <w:tcW w:w="465" w:type="pct"/>
            <w:vAlign w:val="center"/>
          </w:tcPr>
          <w:p>
            <w:pPr>
              <w:spacing w:line="240" w:lineRule="exact"/>
              <w:rPr>
                <w:rFonts w:hint="eastAsia" w:ascii="宋体" w:hAnsi="宋体" w:cs="宋体"/>
                <w:color w:val="auto"/>
                <w:sz w:val="24"/>
                <w:szCs w:val="24"/>
                <w:lang w:bidi="ar-SA"/>
              </w:rPr>
            </w:pPr>
            <w:r>
              <w:rPr>
                <w:rFonts w:hint="eastAsia" w:ascii="宋体" w:hAnsi="宋体" w:cs="宋体"/>
                <w:color w:val="auto"/>
                <w:kern w:val="0"/>
                <w:sz w:val="24"/>
                <w:szCs w:val="24"/>
                <w:lang w:bidi="ar-SA"/>
              </w:rPr>
              <w:t>现场检查</w:t>
            </w:r>
          </w:p>
        </w:tc>
        <w:tc>
          <w:tcPr>
            <w:tcW w:w="1791" w:type="pct"/>
            <w:vAlign w:val="center"/>
          </w:tcPr>
          <w:p>
            <w:pPr>
              <w:spacing w:line="300" w:lineRule="exact"/>
              <w:jc w:val="left"/>
              <w:textAlignment w:val="center"/>
              <w:rPr>
                <w:rFonts w:hint="eastAsia" w:ascii="宋体" w:hAnsi="宋体" w:cs="宋体"/>
                <w:color w:val="auto"/>
                <w:kern w:val="0"/>
                <w:sz w:val="24"/>
                <w:szCs w:val="24"/>
                <w:lang w:bidi="ar-SA"/>
              </w:rPr>
            </w:pPr>
            <w:r>
              <w:rPr>
                <w:rFonts w:hint="eastAsia" w:ascii="宋体" w:hAnsi="宋体" w:cs="宋体"/>
                <w:color w:val="auto"/>
                <w:kern w:val="0"/>
                <w:sz w:val="24"/>
                <w:szCs w:val="24"/>
                <w:lang w:bidi="ar-SA"/>
              </w:rPr>
              <w:t>《食盐专营办法》第二十三条  盐业主管部门依法履行监督检查职责，可以采取下列措施：（一）向有关单位和个人了解情况；（二）查阅或者复制有关合同、票据、账簿、购销记录及其他有关资料；（三）查封、扣押与涉嫌盐业违法行为有关的食盐及原材料，以及用于违法生产或者销售食盐的工具、设备；（四）查封涉嫌违法生产或者销售食盐的场所。</w:t>
            </w:r>
          </w:p>
        </w:tc>
        <w:tc>
          <w:tcPr>
            <w:tcW w:w="618" w:type="pct"/>
            <w:vAlign w:val="center"/>
          </w:tcPr>
          <w:p>
            <w:pPr>
              <w:rPr>
                <w:rFonts w:hint="eastAsia" w:ascii="宋体" w:hAnsi="宋体" w:cs="宋体"/>
                <w:color w:val="auto"/>
                <w:sz w:val="24"/>
                <w:szCs w:val="24"/>
                <w:lang w:bidi="ar-SA"/>
              </w:rPr>
            </w:pPr>
            <w:r>
              <w:rPr>
                <w:rFonts w:hint="eastAsia" w:ascii="宋体" w:hAnsi="宋体" w:cs="宋体"/>
                <w:color w:val="auto"/>
                <w:sz w:val="24"/>
                <w:szCs w:val="24"/>
                <w:lang w:bidi="ar-SA"/>
              </w:rPr>
              <w:t>食品饮料科</w:t>
            </w:r>
          </w:p>
        </w:tc>
      </w:tr>
    </w:tbl>
    <w:p>
      <w:pPr>
        <w:keepNext w:val="0"/>
        <w:keepLines w:val="0"/>
        <w:pageBreakBefore w:val="0"/>
        <w:widowControl w:val="0"/>
        <w:kinsoku/>
        <w:wordWrap/>
        <w:overflowPunct/>
        <w:topLinePunct w:val="0"/>
        <w:autoSpaceDE/>
        <w:autoSpaceDN/>
        <w:bidi w:val="0"/>
        <w:adjustRightInd/>
        <w:snapToGrid/>
        <w:spacing w:line="576" w:lineRule="exact"/>
        <w:ind w:left="0" w:right="0" w:firstLine="616" w:firstLineChars="200"/>
        <w:jc w:val="both"/>
        <w:textAlignment w:val="auto"/>
        <w:rPr>
          <w:rFonts w:ascii="黑体" w:eastAsia="黑体" w:cs="黑体"/>
          <w:b w:val="0"/>
          <w:bCs w:val="0"/>
          <w:color w:val="auto"/>
          <w:spacing w:val="-6"/>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jc w:val="both"/>
        <w:textAlignment w:val="auto"/>
        <w:rPr>
          <w:rFonts w:ascii="楷体_GB2312" w:eastAsia="楷体_GB2312" w:cs="仿宋_GB2312"/>
          <w:bCs/>
          <w:color w:val="auto"/>
          <w:szCs w:val="32"/>
          <w:highlight w:val="none"/>
          <w:lang w:val="en-US" w:eastAsia="zh-CN"/>
        </w:rPr>
      </w:pPr>
      <w:r>
        <w:rPr>
          <w:rFonts w:ascii="楷体_GB2312" w:eastAsia="楷体_GB2312" w:cs="仿宋_GB2312"/>
          <w:bCs/>
          <w:color w:val="auto"/>
          <w:szCs w:val="32"/>
          <w:highlight w:val="none"/>
          <w:lang w:val="en-US" w:eastAsia="zh-CN"/>
        </w:rPr>
        <w:t>（二）市场主体库</w:t>
      </w:r>
    </w:p>
    <w:p>
      <w:pPr>
        <w:keepNext w:val="0"/>
        <w:keepLines w:val="0"/>
        <w:pageBreakBefore w:val="0"/>
        <w:widowControl w:val="0"/>
        <w:kinsoku/>
        <w:wordWrap/>
        <w:overflowPunct/>
        <w:topLinePunct w:val="0"/>
        <w:autoSpaceDE/>
        <w:autoSpaceDN/>
        <w:bidi w:val="0"/>
        <w:adjustRightInd/>
        <w:snapToGrid/>
        <w:spacing w:line="576" w:lineRule="exact"/>
        <w:ind w:right="0" w:firstLine="642" w:firstLineChars="200"/>
        <w:jc w:val="both"/>
        <w:textAlignment w:val="auto"/>
        <w:rPr>
          <w:rFonts w:hint="default" w:ascii="黑体" w:eastAsia="仿宋_GB2312" w:cs="黑体"/>
          <w:b w:val="0"/>
          <w:bCs w:val="0"/>
          <w:color w:val="auto"/>
          <w:spacing w:val="-6"/>
          <w:sz w:val="32"/>
          <w:szCs w:val="32"/>
          <w:highlight w:val="none"/>
          <w:lang w:val="en-US" w:eastAsia="zh-CN"/>
        </w:rPr>
      </w:pPr>
      <w:r>
        <w:rPr>
          <w:rFonts w:hint="eastAsia" w:ascii="仿宋_GB2312" w:cs="仿宋_GB2312"/>
          <w:b/>
          <w:bCs/>
          <w:color w:val="auto"/>
          <w:sz w:val="32"/>
          <w:szCs w:val="32"/>
          <w:highlight w:val="none"/>
          <w:lang w:eastAsia="zh-CN"/>
        </w:rPr>
        <w:t>成品油零售企业（</w:t>
      </w:r>
      <w:r>
        <w:rPr>
          <w:rFonts w:hint="eastAsia" w:ascii="仿宋_GB2312" w:cs="仿宋_GB2312"/>
          <w:b/>
          <w:bCs/>
          <w:color w:val="auto"/>
          <w:sz w:val="32"/>
          <w:szCs w:val="32"/>
          <w:highlight w:val="none"/>
          <w:lang w:val="en-US" w:eastAsia="zh-CN"/>
        </w:rPr>
        <w:t>211个</w:t>
      </w:r>
      <w:r>
        <w:rPr>
          <w:rFonts w:hint="eastAsia" w:ascii="仿宋_GB2312" w:cs="仿宋_GB2312"/>
          <w:b/>
          <w:bCs/>
          <w:color w:val="auto"/>
          <w:sz w:val="32"/>
          <w:szCs w:val="32"/>
          <w:highlight w:val="none"/>
          <w:lang w:eastAsia="zh-CN"/>
        </w:rPr>
        <w:t>）</w:t>
      </w:r>
      <w:r>
        <w:rPr>
          <w:rFonts w:hint="eastAsia" w:ascii="仿宋_GB2312" w:cs="仿宋_GB2312"/>
          <w:b/>
          <w:bCs/>
          <w:color w:val="auto"/>
          <w:sz w:val="32"/>
          <w:szCs w:val="32"/>
          <w:highlight w:val="none"/>
          <w:lang w:eastAsia="zh-CN"/>
        </w:rPr>
        <w:tab/>
      </w:r>
      <w:r>
        <w:rPr>
          <w:rFonts w:hint="eastAsia" w:ascii="仿宋_GB2312" w:cs="仿宋_GB2312"/>
          <w:b/>
          <w:bCs/>
          <w:color w:val="auto"/>
          <w:sz w:val="32"/>
          <w:szCs w:val="32"/>
          <w:highlight w:val="none"/>
          <w:lang w:val="en-US" w:eastAsia="zh-CN"/>
        </w:rPr>
        <w:t xml:space="preserve"> </w:t>
      </w:r>
    </w:p>
    <w:tbl>
      <w:tblPr>
        <w:tblStyle w:val="12"/>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2"/>
        <w:gridCol w:w="6298"/>
        <w:gridCol w:w="15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b/>
                <w:bCs/>
                <w:i w:val="0"/>
                <w:iCs w:val="0"/>
                <w:color w:val="auto"/>
                <w:sz w:val="24"/>
                <w:szCs w:val="24"/>
                <w:u w:val="none"/>
              </w:rPr>
            </w:pPr>
            <w:r>
              <w:rPr>
                <w:rFonts w:hint="default" w:ascii="微软雅黑" w:hAnsi="微软雅黑" w:eastAsia="微软雅黑" w:cs="微软雅黑"/>
                <w:b/>
                <w:bCs/>
                <w:i w:val="0"/>
                <w:iCs w:val="0"/>
                <w:color w:val="auto"/>
                <w:kern w:val="0"/>
                <w:sz w:val="24"/>
                <w:szCs w:val="24"/>
                <w:u w:val="none"/>
                <w:lang w:val="en-US" w:eastAsia="zh-CN" w:bidi="ar"/>
              </w:rPr>
              <w:t>序号</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b/>
                <w:bCs/>
                <w:i w:val="0"/>
                <w:iCs w:val="0"/>
                <w:color w:val="auto"/>
                <w:sz w:val="24"/>
                <w:szCs w:val="24"/>
                <w:u w:val="none"/>
              </w:rPr>
            </w:pPr>
            <w:r>
              <w:rPr>
                <w:rFonts w:hint="default" w:ascii="微软雅黑" w:hAnsi="微软雅黑" w:eastAsia="微软雅黑" w:cs="微软雅黑"/>
                <w:b/>
                <w:bCs/>
                <w:i w:val="0"/>
                <w:iCs w:val="0"/>
                <w:color w:val="auto"/>
                <w:kern w:val="0"/>
                <w:sz w:val="24"/>
                <w:szCs w:val="24"/>
                <w:u w:val="none"/>
                <w:lang w:val="en-US" w:eastAsia="zh-CN" w:bidi="ar"/>
              </w:rPr>
              <w:t>名称</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auto"/>
                <w:sz w:val="24"/>
                <w:szCs w:val="24"/>
                <w:u w:val="none"/>
                <w:lang w:eastAsia="zh-CN"/>
              </w:rPr>
            </w:pPr>
            <w:r>
              <w:rPr>
                <w:rFonts w:hint="eastAsia" w:ascii="微软雅黑" w:hAnsi="微软雅黑" w:eastAsia="微软雅黑" w:cs="微软雅黑"/>
                <w:b/>
                <w:bCs/>
                <w:i w:val="0"/>
                <w:iCs w:val="0"/>
                <w:color w:val="auto"/>
                <w:sz w:val="24"/>
                <w:szCs w:val="24"/>
                <w:u w:val="none"/>
                <w:lang w:eastAsia="zh-CN"/>
              </w:rPr>
              <w:t>所属县区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苍溪文昌白关加油站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苍溪县白鹤加油站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苍溪县白桥加油站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苍溪县白驿加油站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苍溪县苍宇加油站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苍溪县东青村加油站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苍溪县东青加油站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苍溪县高坡知明加油站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苍溪县宏洋加油站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苍溪县唤马加油站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苍溪县江岸加油站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苍溪县漓江加油站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苍溪县龙宇加油站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苍溪县彭店便民加油站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苍溪县三川加油站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苍溪县石马红星加油站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苍溪县石门加油站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苍溪县石灶加油站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苍溪县田菜加油站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苍溪县文昌加油站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苍溪县新观加油站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苍溪县逸洁石油加油站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苍溪县岳东加油站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苍溪县月山加油站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苍溪县云峰加油站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苍溪县运山加油站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苍溪县中利燃气有限责任公司</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苍溪县中土加油站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苍溪县中亿石化有限公司</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广元市兴晖商贸有限责任公司苍溪县荞子坝加油加气站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四川蜀交中油能源有限公司广南高速苍溪服务区右加油站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四川蜀交中油能源有限公司广南高速苍溪服务区左加油站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中国石化销售股有限公司四川广元石油分公司紫云加油站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中国石油天然气股份有限公司四川广元销售分公司北门沟加油站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中国石油天然气股份有限公司四川广元销售分公司滨河加油站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中国石油天然气股份有限公司四川广元销售分公司苍溪陵江加油站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中国石油天然气股份有限公司四川广元销售分公司苍溪元坝加油站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中国石油天然气股份有限公司四川广元销售分公司东溪加油站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中国石油天然气股份有限公司四川广元销售分公司红军渡加油站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中国石油天然气股份有限公司四川广元销售分公司江南加油站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中国石油天然气股份有限公司四川广元销售分公司龙山加油站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中国石油天然气股份有限公司四川广元销售分公司龙王加油站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中国石油天然气股份有限公司四川广元销售分公司歧坪加油站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中国石油天然气股份有限公司四川广元销售分公司青茨垭加油站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中国石油天然气股份有限公司四川广元销售分公司三清加油站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中国石油天然气股份有限公司四川广元销售分公司五龙加油站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苍溪县梨博园加油站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苍溪县鸳溪加油站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苍溪县青龙加油站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苍溪县五龙鸿昌加油站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苍溪县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中国石油天然气股份有限公司四川广元销售分公司红旗加油站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中国石油天然气股份有限公司四川广元销售分公司白马加油站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中国石油天然气股份有限公司四川广元销售分公司宏达加油站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中国石油天然气股份有限公司四川广元销售分公司环城加油站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中国石油天然气股份有限公司四川广元销售分公司兴隆加油站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中国石油天然气股份有限公司四川广元销售分公司三江加油站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中国石油天然气股份有限公司四川广元销售分公司南峰寺加油站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中国石油天然气股份有限公司四川广元销售分公司东河加油站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中国石油天然气股份有限公司四川广元销售分公司普济加油站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中国石化销售股份有限公司四川广元石油分公司旺苍东加油站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中国石化销售股份有限公司四川广元石油分公司正源加油站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中石化巴中石化销售有限公司旺苍县远达加油站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延长壳牌（四川）石油有限公司广元旺苍东河加油站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四川蜀交中油能源有限公司广巴高速旺苍服务区左加油站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四川蜀交中油能源有限公司广巴高速旺苍服务区右加油站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旺苍县双慧加油站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旺苍县春深加油站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旺苍县中孚加油站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旺苍县中茂石油有限公司红军城加油站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旺苍县永旺加油站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旺苍县嘉川石化建筑建材公司西河加油站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旺苍县亨通东河加油站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旺苍县中川能源有限责任公司五权加油站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四川省㕵苍县华路经贸有限公司</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旺苍县白水大桥加油站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旺苍县普济在远景加油站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旺苍县嘉川石化建筑建材公司银河加油站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旺苍县永福加油</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旺苍县亨通石化销售有限公司黄洋加油站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旺苍县木门加油站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旺苍县尚武镇农机加油站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旺苍县金溪农机加油站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旺苍县国华迎宾加油站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旺苍县中旺加油站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旺苍县普济农机加油站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旺苍县三江加油站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旺苍县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中国石油天然气股份有限公司四川广元销售分公司剑阁普安加油站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中国石油天然气股份有限公司四川广元销售分公司剑阁下寺加油站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中国石油天然气股份有限公司四川广元销售分公司拐枣加油站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中国石油天然气股份有限公司四川广元销售分公司剑阁杨村加油站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中国石油天然气股份有限公司四川广元销售分公司剑阁公兴加油站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中国石油天然气股份有限公司四川广元销售分公司剑阁剑门加油站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中国石油天然气股份有限公司四川广元销售分公司白龙加油站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中国石油天然气股份有限公司四川广元销售分公司汉阳加油站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中国石油天然气股份有限公司四川广元销售分公司剑阁合林加油站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中国石油天然气股份有限公司四川广元销售分公司新桥加油站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中国石油天然气股份有限公司四川广元销售分公司元山加油站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中国石油天然气股份有限公司四川广元销售分公司柳沟加油站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中国石油天然气股份有限公司四川广元销售分公司剑阁剑金加油站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中国石油天然气股份有限公司四川广元销售分公司剑阁开封加油站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四川蜀交中油能源有限公司绵广高速剑门关左加油站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四川蜀交中油能源有限公司绵广高速剑门关右加油站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广汉市中药材公司剑阁加油站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剑阁县泉海能源销售有限公司垂泉加油站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剑阁县公兴农机加油站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剑阁县剑南加油站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剑阁县元山盛丰加油站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剑阁县长岭加油站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剑阁县金仙加油站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剑阁县星鑫加油站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剑阁县香沉加油站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剑阁县演圣加油站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剑阁县青树子加油站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剑阁县红岩加油站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剑阁县鹤龄镇永兴加油站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剑阁县姚家加油站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剑阁县樵店加油站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剑阁县武连南街加油站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剑阁县东宝镇信勇加油站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剑阁县木马加油站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剑阁县王河镇加油站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剑阁县高池加油站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剑阁县迎水加油站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剑阁县店子农机加油站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剑阁县中海加油站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剑阁县白龙天运加油站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剑阁县张王加油站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剑阁县新顺成品油销售有限公司新场加油站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剑阁县柏垭加油站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剑阁县惬宇加油站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广元市中海石油有限责任公司剑阁县红旗加油站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剑阁县君鸿加油站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剑阁县两河加油站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四川剑一新能源有限公司剑阁县下普加油站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剑阁县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中国石油天然气股份有限公司四川广元青川销售分公司青竹加油站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中国石油天然气股份有限公司四川广元销售分公司新竹加油站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中国石油天然气股份有限公司四川广元销售分公司青溪加油站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中国石油天然气股份有限公司四川广元青川销售分公司转嘴子加油站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中国石油天然气股份有限公司四川广元销售分公司青川白龙湖加油站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中国石油天然气股份有限公司四川广元销售分公司青川木鱼加油站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中国石化销售股份有限公司四川广元石油分公司金子山加油站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中国石化销售股份有限公司四川绵阳石油分公司广平高速青龙湖服务区东加油站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中国石化销售股份有限公司四川绵阳石油分公司广平高速青龙湖服务区西加油站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延长壳牌（四川）石油有限公司青川县平安加油站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青川县楼子垭加油站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青川县凉水农机加油站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青川县龙池加油站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青川县竹园农机加油站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青川县龙成加油站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青川县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中国石油天然气股份有限公司四川广元销售分公司清江加油站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中国石油天然气股份有限公司四川广元销售分公司赤化加油站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中国石油天然气股份有限公司四川广元销售分公司爱国路加油站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中国石油天然气股份有限公司四川广元销售分公司井田加油站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中国石油天然气股份有限公司四川广元销售分公司荣山加油站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四川蜀交国储能源有限公司宝轮服务区左加油站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中国石油天然气股份有限公司四川广元销售分公司东坝加油站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中国石油天然气股份有限公司四川广元销售分公司北二环加油加气站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中国石油天然气股份有限公司四川广元销售分公司广巴加油站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中国石油天然气股份有限公司四川广元销售分公司九华加油站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中国石油天然气股份有限公司四川广元销售分公司增辉加油站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中国石油天然气股份有限公司四川广元销售分公司城北加油站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中国石油天然气股份有限公司四川广元销售分公司则天加油站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中国石油天然气股份有限公司四川广元销售分公司广场加油站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广元市利州区三堆镇迎宾路加油站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广元市荣山镇党家岩加油站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广元市石油有限公司东环加油站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广元市石油有限公司城东加油站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广元市石油有限公司金洞加油站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四川广运集团大石综合能源有限公司大石加油站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利州区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广元民荣石化有限公司红岩加油站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广元市金花石化有限公司</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广元市孟林燃气有限公司平乐加油站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广元市石油有限公司清水加油站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广元市昭化区白果加油站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广元市昭化区柏林沟加油站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广元市昭化区虎跳加油站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广元市昭化区金帽加油站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广元市昭化区乐泉加油站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广元市昭化区明觉加油站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广元市昭化区明觉乡黑水塘加油站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广元市昭化区沙坝河加油站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广元市昭化区石井铺加油站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广元市昭化区太公加油站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广元市昭化区文村加油站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广元市昭化区永宁加油站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广元市昭化区张家加油站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广元市昭化区昭化加油站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四川蜀交中油能源有限公司广巴高速元坝右加油站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四川蜀交中油能源有限公司广巴高速元坝左加油站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中国石化销售股份有限公司四川广元石油分公司胜利加油站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中国石油天然气股份有限公司四川广元销售分公司卫子加油站 </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中国石油天然气股份有限公司四川广元销售分公司希望加油站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中国石油天然气股份有限公司四川广元销售分公司元坝加油站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中石化泰和加油站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昭化区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中国石油天然气股份有限公司四川广元销售分公司朝天中山加油站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朝天区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中国石油天然气股份有限公司四川广元销售分公司朝天区大巴口加油站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朝天区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中国石油天然气股份有限公司四川广元销售分公司朝天区沙河加油站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朝天区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中国石油天然气股份有限公司四川广元销售分公司朝天区川北加油站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朝天区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中国石化销售股份有限公司四川广元石油分公司中子加油站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朝天区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四川蜀交中油能源有限公司广陕高速中子服务区左加油站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朝天区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四川蜀交中油能源有限公司广陕高速中子服务区右加油站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朝天区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广元市石油有限公司羊木加油站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朝天区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203</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广元市朝天区枣树加油站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朝天区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204</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广元市朝天区峡口加油站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朝天区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205</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广元市朝天区中茂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朝天区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206</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广元市朝天区两河口加油站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朝天区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207</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中国石油天然气股份有限公司四川广元销售分公司迎宾加油站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广元经开区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208</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中国石油天然气股份有限公司四川广元销售分公司河西加油站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广元经开区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209</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中国石油天然气股份有限公司四川广元销售分公司金山加油站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广元经开区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210</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中国石油天然气股份有限公司四川广元销售分公司陵江加油站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广元经开区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211</w:t>
            </w:r>
          </w:p>
        </w:tc>
        <w:tc>
          <w:tcPr>
            <w:tcW w:w="3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广元市机动车考试检测有限公司盘龙陵宝加油站</w:t>
            </w:r>
          </w:p>
        </w:tc>
        <w:tc>
          <w:tcPr>
            <w:tcW w:w="8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广元经开区</w:t>
            </w:r>
          </w:p>
        </w:tc>
      </w:tr>
    </w:tbl>
    <w:p>
      <w:pPr>
        <w:pStyle w:val="11"/>
        <w:keepNext w:val="0"/>
        <w:keepLines w:val="0"/>
        <w:pageBreakBefore w:val="0"/>
        <w:widowControl w:val="0"/>
        <w:bidi w:val="0"/>
        <w:spacing w:line="560" w:lineRule="exact"/>
        <w:ind w:left="0" w:leftChars="0" w:right="-25" w:firstLine="0" w:firstLineChars="0"/>
        <w:rPr>
          <w:color w:val="auto"/>
        </w:rPr>
      </w:pPr>
    </w:p>
    <w:p>
      <w:pPr>
        <w:pStyle w:val="11"/>
        <w:keepNext w:val="0"/>
        <w:keepLines w:val="0"/>
        <w:pageBreakBefore w:val="0"/>
        <w:widowControl w:val="0"/>
        <w:bidi w:val="0"/>
        <w:spacing w:line="560" w:lineRule="exact"/>
        <w:ind w:right="-25" w:firstLine="640" w:firstLineChars="200"/>
        <w:rPr>
          <w:color w:val="auto"/>
        </w:rPr>
      </w:pPr>
      <w:r>
        <w:rPr>
          <w:color w:val="auto"/>
        </w:rPr>
        <w:t>（三）广元市经济和信息化局202</w:t>
      </w:r>
      <w:r>
        <w:rPr>
          <w:rFonts w:hint="eastAsia"/>
          <w:color w:val="auto"/>
          <w:lang w:val="en-US" w:eastAsia="zh-CN"/>
        </w:rPr>
        <w:t>4</w:t>
      </w:r>
      <w:r>
        <w:rPr>
          <w:color w:val="auto"/>
        </w:rPr>
        <w:t xml:space="preserve">年“双随机、一公开” </w:t>
      </w:r>
      <w:r>
        <w:rPr>
          <w:rFonts w:hint="eastAsia"/>
          <w:color w:val="auto"/>
          <w:lang w:eastAsia="zh-CN"/>
        </w:rPr>
        <w:t>抽查</w:t>
      </w:r>
      <w:r>
        <w:rPr>
          <w:color w:val="auto"/>
        </w:rPr>
        <w:t>计划</w:t>
      </w:r>
    </w:p>
    <w:tbl>
      <w:tblPr>
        <w:tblStyle w:val="1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9"/>
        <w:gridCol w:w="1390"/>
        <w:gridCol w:w="1178"/>
        <w:gridCol w:w="1269"/>
        <w:gridCol w:w="990"/>
        <w:gridCol w:w="1760"/>
        <w:gridCol w:w="919"/>
        <w:gridCol w:w="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blHeader/>
          <w:jc w:val="center"/>
        </w:trPr>
        <w:tc>
          <w:tcPr>
            <w:tcW w:w="380" w:type="pct"/>
            <w:shd w:val="clear" w:color="auto" w:fill="FFFFFF"/>
            <w:noWrap w:val="0"/>
            <w:vAlign w:val="center"/>
          </w:tcPr>
          <w:p>
            <w:pPr>
              <w:widowControl/>
              <w:spacing w:line="220" w:lineRule="exact"/>
              <w:jc w:val="center"/>
              <w:textAlignment w:val="center"/>
              <w:rPr>
                <w:rFonts w:hint="eastAsia" w:ascii="黑体" w:eastAsia="黑体" w:cs="黑体"/>
                <w:color w:val="auto"/>
                <w:kern w:val="0"/>
                <w:sz w:val="24"/>
                <w:szCs w:val="24"/>
                <w:lang w:bidi="ar-SA"/>
              </w:rPr>
            </w:pPr>
            <w:r>
              <w:rPr>
                <w:rFonts w:hint="eastAsia" w:ascii="黑体" w:eastAsia="黑体" w:cs="黑体"/>
                <w:color w:val="auto"/>
                <w:kern w:val="0"/>
                <w:sz w:val="24"/>
                <w:szCs w:val="24"/>
                <w:lang w:bidi="ar-SA"/>
              </w:rPr>
              <w:t>序号</w:t>
            </w:r>
          </w:p>
        </w:tc>
        <w:tc>
          <w:tcPr>
            <w:tcW w:w="767" w:type="pct"/>
            <w:shd w:val="clear" w:color="auto" w:fill="FFFFFF"/>
            <w:noWrap w:val="0"/>
            <w:vAlign w:val="center"/>
          </w:tcPr>
          <w:p>
            <w:pPr>
              <w:widowControl/>
              <w:spacing w:line="220" w:lineRule="exact"/>
              <w:jc w:val="center"/>
              <w:textAlignment w:val="center"/>
              <w:rPr>
                <w:rFonts w:hint="eastAsia" w:ascii="黑体" w:eastAsia="黑体" w:cs="黑体"/>
                <w:color w:val="auto"/>
                <w:kern w:val="0"/>
                <w:sz w:val="24"/>
                <w:szCs w:val="24"/>
                <w:lang w:bidi="ar-SA"/>
              </w:rPr>
            </w:pPr>
            <w:r>
              <w:rPr>
                <w:rFonts w:hint="eastAsia" w:ascii="黑体" w:eastAsia="黑体" w:cs="黑体"/>
                <w:color w:val="auto"/>
                <w:kern w:val="0"/>
                <w:sz w:val="24"/>
                <w:szCs w:val="24"/>
                <w:lang w:bidi="ar-SA"/>
              </w:rPr>
              <w:t>计划名称</w:t>
            </w:r>
          </w:p>
        </w:tc>
        <w:tc>
          <w:tcPr>
            <w:tcW w:w="650" w:type="pct"/>
            <w:shd w:val="clear" w:color="auto" w:fill="FFFFFF"/>
            <w:noWrap w:val="0"/>
            <w:vAlign w:val="center"/>
          </w:tcPr>
          <w:p>
            <w:pPr>
              <w:widowControl/>
              <w:spacing w:line="220" w:lineRule="exact"/>
              <w:jc w:val="center"/>
              <w:textAlignment w:val="center"/>
              <w:rPr>
                <w:rFonts w:hint="eastAsia" w:ascii="黑体" w:eastAsia="黑体" w:cs="黑体"/>
                <w:color w:val="auto"/>
                <w:kern w:val="0"/>
                <w:sz w:val="24"/>
                <w:szCs w:val="24"/>
                <w:lang w:bidi="ar-SA"/>
              </w:rPr>
            </w:pPr>
            <w:r>
              <w:rPr>
                <w:rFonts w:hint="eastAsia" w:ascii="黑体" w:eastAsia="黑体" w:cs="黑体"/>
                <w:color w:val="auto"/>
                <w:kern w:val="0"/>
                <w:sz w:val="24"/>
                <w:szCs w:val="24"/>
                <w:lang w:bidi="ar-SA"/>
              </w:rPr>
              <w:t>抽查对象</w:t>
            </w:r>
          </w:p>
        </w:tc>
        <w:tc>
          <w:tcPr>
            <w:tcW w:w="700" w:type="pct"/>
            <w:shd w:val="clear" w:color="auto" w:fill="auto"/>
            <w:noWrap w:val="0"/>
            <w:vAlign w:val="center"/>
          </w:tcPr>
          <w:p>
            <w:pPr>
              <w:widowControl/>
              <w:spacing w:line="220" w:lineRule="exact"/>
              <w:jc w:val="center"/>
              <w:textAlignment w:val="center"/>
              <w:rPr>
                <w:rFonts w:hint="eastAsia" w:ascii="黑体" w:eastAsia="黑体" w:cs="黑体"/>
                <w:color w:val="auto"/>
                <w:kern w:val="0"/>
                <w:sz w:val="24"/>
                <w:szCs w:val="24"/>
                <w:lang w:bidi="ar-SA"/>
              </w:rPr>
            </w:pPr>
            <w:r>
              <w:rPr>
                <w:rFonts w:hint="eastAsia" w:ascii="黑体" w:eastAsia="黑体" w:cs="黑体"/>
                <w:color w:val="auto"/>
                <w:kern w:val="0"/>
                <w:sz w:val="24"/>
                <w:szCs w:val="24"/>
                <w:lang w:bidi="ar-SA"/>
              </w:rPr>
              <w:t>牵头抽查事项</w:t>
            </w:r>
          </w:p>
        </w:tc>
        <w:tc>
          <w:tcPr>
            <w:tcW w:w="546" w:type="pct"/>
            <w:shd w:val="clear" w:color="auto" w:fill="auto"/>
            <w:noWrap w:val="0"/>
            <w:vAlign w:val="center"/>
          </w:tcPr>
          <w:p>
            <w:pPr>
              <w:widowControl/>
              <w:spacing w:line="220" w:lineRule="exact"/>
              <w:jc w:val="center"/>
              <w:textAlignment w:val="center"/>
              <w:rPr>
                <w:rFonts w:hint="eastAsia" w:ascii="黑体" w:eastAsia="黑体" w:cs="黑体"/>
                <w:color w:val="auto"/>
                <w:kern w:val="0"/>
                <w:sz w:val="24"/>
                <w:szCs w:val="24"/>
                <w:lang w:bidi="ar-SA"/>
              </w:rPr>
            </w:pPr>
            <w:r>
              <w:rPr>
                <w:rFonts w:hint="eastAsia" w:ascii="黑体" w:eastAsia="黑体" w:cs="黑体"/>
                <w:color w:val="auto"/>
                <w:kern w:val="0"/>
                <w:sz w:val="24"/>
                <w:szCs w:val="24"/>
                <w:lang w:bidi="ar-SA"/>
              </w:rPr>
              <w:t>参与抽</w:t>
            </w:r>
          </w:p>
          <w:p>
            <w:pPr>
              <w:widowControl/>
              <w:spacing w:line="220" w:lineRule="exact"/>
              <w:jc w:val="center"/>
              <w:textAlignment w:val="center"/>
              <w:rPr>
                <w:rFonts w:hint="eastAsia" w:ascii="黑体" w:eastAsia="黑体" w:cs="黑体"/>
                <w:color w:val="auto"/>
                <w:kern w:val="0"/>
                <w:sz w:val="24"/>
                <w:szCs w:val="24"/>
                <w:lang w:bidi="ar-SA"/>
              </w:rPr>
            </w:pPr>
            <w:r>
              <w:rPr>
                <w:rFonts w:hint="eastAsia" w:ascii="黑体" w:eastAsia="黑体" w:cs="黑体"/>
                <w:color w:val="auto"/>
                <w:kern w:val="0"/>
                <w:sz w:val="24"/>
                <w:szCs w:val="24"/>
                <w:lang w:bidi="ar-SA"/>
              </w:rPr>
              <w:t>查部门</w:t>
            </w:r>
          </w:p>
        </w:tc>
        <w:tc>
          <w:tcPr>
            <w:tcW w:w="971" w:type="pct"/>
            <w:shd w:val="clear" w:color="auto" w:fill="auto"/>
            <w:noWrap w:val="0"/>
            <w:vAlign w:val="center"/>
          </w:tcPr>
          <w:p>
            <w:pPr>
              <w:widowControl/>
              <w:spacing w:line="220" w:lineRule="exact"/>
              <w:jc w:val="center"/>
              <w:textAlignment w:val="center"/>
              <w:rPr>
                <w:rFonts w:hint="eastAsia" w:ascii="黑体" w:eastAsia="黑体" w:cs="黑体"/>
                <w:color w:val="auto"/>
                <w:kern w:val="0"/>
                <w:sz w:val="24"/>
                <w:szCs w:val="24"/>
                <w:lang w:bidi="ar-SA"/>
              </w:rPr>
            </w:pPr>
            <w:r>
              <w:rPr>
                <w:rFonts w:hint="eastAsia" w:ascii="黑体" w:eastAsia="黑体" w:cs="黑体"/>
                <w:color w:val="auto"/>
                <w:kern w:val="0"/>
                <w:sz w:val="24"/>
                <w:szCs w:val="24"/>
                <w:lang w:bidi="ar-SA"/>
              </w:rPr>
              <w:t>参与抽查部门联合抽查事项</w:t>
            </w:r>
          </w:p>
        </w:tc>
        <w:tc>
          <w:tcPr>
            <w:tcW w:w="507" w:type="pct"/>
            <w:shd w:val="clear" w:color="auto" w:fill="auto"/>
            <w:noWrap w:val="0"/>
            <w:vAlign w:val="center"/>
          </w:tcPr>
          <w:p>
            <w:pPr>
              <w:widowControl/>
              <w:spacing w:line="220" w:lineRule="exact"/>
              <w:jc w:val="center"/>
              <w:textAlignment w:val="center"/>
              <w:rPr>
                <w:rFonts w:hint="eastAsia" w:ascii="黑体" w:eastAsia="黑体" w:cs="黑体"/>
                <w:color w:val="auto"/>
                <w:kern w:val="0"/>
                <w:sz w:val="24"/>
                <w:szCs w:val="24"/>
                <w:lang w:bidi="ar-SA"/>
              </w:rPr>
            </w:pPr>
            <w:r>
              <w:rPr>
                <w:rFonts w:hint="eastAsia" w:ascii="黑体" w:eastAsia="黑体" w:cs="黑体"/>
                <w:color w:val="auto"/>
                <w:kern w:val="0"/>
                <w:sz w:val="24"/>
                <w:szCs w:val="24"/>
                <w:lang w:bidi="ar-SA"/>
              </w:rPr>
              <w:t>检查时间</w:t>
            </w:r>
          </w:p>
        </w:tc>
        <w:tc>
          <w:tcPr>
            <w:tcW w:w="474" w:type="pct"/>
            <w:shd w:val="clear" w:color="auto" w:fill="auto"/>
            <w:noWrap w:val="0"/>
            <w:vAlign w:val="center"/>
          </w:tcPr>
          <w:p>
            <w:pPr>
              <w:widowControl/>
              <w:spacing w:line="220" w:lineRule="exact"/>
              <w:jc w:val="center"/>
              <w:textAlignment w:val="center"/>
              <w:rPr>
                <w:rFonts w:hint="eastAsia" w:ascii="黑体" w:eastAsia="黑体" w:cs="黑体"/>
                <w:color w:val="auto"/>
                <w:kern w:val="0"/>
                <w:sz w:val="24"/>
                <w:szCs w:val="24"/>
                <w:lang w:eastAsia="zh-CN" w:bidi="ar-SA"/>
              </w:rPr>
            </w:pPr>
            <w:r>
              <w:rPr>
                <w:rFonts w:hint="eastAsia" w:ascii="黑体" w:eastAsia="黑体" w:cs="黑体"/>
                <w:color w:val="auto"/>
                <w:kern w:val="0"/>
                <w:sz w:val="24"/>
                <w:szCs w:val="24"/>
                <w:lang w:eastAsia="zh-CN" w:bidi="ar-SA"/>
              </w:rPr>
              <w:t>监管方式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380" w:type="pct"/>
            <w:vMerge w:val="restart"/>
            <w:noWrap w:val="0"/>
            <w:vAlign w:val="center"/>
          </w:tcPr>
          <w:p>
            <w:pPr>
              <w:numPr>
                <w:ilvl w:val="0"/>
                <w:numId w:val="0"/>
              </w:numPr>
              <w:spacing w:line="300" w:lineRule="exact"/>
              <w:ind w:leftChars="0"/>
              <w:jc w:val="both"/>
              <w:rPr>
                <w:rFonts w:hint="eastAsia" w:ascii="宋体" w:eastAsia="仿宋_GB2312" w:cs="宋体"/>
                <w:color w:val="auto"/>
                <w:sz w:val="24"/>
                <w:szCs w:val="24"/>
                <w:lang w:val="en-US" w:eastAsia="zh-CN" w:bidi="ar-SA"/>
              </w:rPr>
            </w:pPr>
            <w:r>
              <w:rPr>
                <w:rFonts w:hint="eastAsia" w:ascii="宋体" w:cs="宋体"/>
                <w:color w:val="auto"/>
                <w:sz w:val="24"/>
                <w:szCs w:val="24"/>
                <w:lang w:val="en-US" w:eastAsia="zh-CN" w:bidi="ar-SA"/>
              </w:rPr>
              <w:t>1</w:t>
            </w:r>
          </w:p>
        </w:tc>
        <w:tc>
          <w:tcPr>
            <w:tcW w:w="767" w:type="pct"/>
            <w:vMerge w:val="restart"/>
            <w:noWrap w:val="0"/>
            <w:vAlign w:val="center"/>
          </w:tcPr>
          <w:p>
            <w:pPr>
              <w:spacing w:line="240" w:lineRule="exact"/>
              <w:jc w:val="left"/>
              <w:textAlignment w:val="center"/>
              <w:rPr>
                <w:rFonts w:hint="eastAsia" w:ascii="宋体" w:cs="宋体"/>
                <w:color w:val="auto"/>
                <w:kern w:val="0"/>
                <w:sz w:val="24"/>
                <w:szCs w:val="24"/>
                <w:lang w:bidi="ar-SA"/>
              </w:rPr>
            </w:pPr>
            <w:r>
              <w:rPr>
                <w:rFonts w:hint="eastAsia" w:ascii="宋体" w:cs="宋体"/>
                <w:color w:val="auto"/>
                <w:kern w:val="0"/>
                <w:sz w:val="24"/>
                <w:szCs w:val="24"/>
                <w:lang w:bidi="ar-SA"/>
              </w:rPr>
              <w:t>广元市2024年成品油市场抽查检查</w:t>
            </w:r>
          </w:p>
        </w:tc>
        <w:tc>
          <w:tcPr>
            <w:tcW w:w="650" w:type="pct"/>
            <w:vMerge w:val="restart"/>
            <w:noWrap w:val="0"/>
            <w:vAlign w:val="center"/>
          </w:tcPr>
          <w:p>
            <w:pPr>
              <w:spacing w:line="240" w:lineRule="exact"/>
              <w:jc w:val="left"/>
              <w:textAlignment w:val="center"/>
              <w:rPr>
                <w:rFonts w:hint="eastAsia" w:ascii="宋体" w:cs="宋体"/>
                <w:color w:val="auto"/>
                <w:kern w:val="0"/>
                <w:sz w:val="24"/>
                <w:szCs w:val="24"/>
                <w:lang w:bidi="ar-SA"/>
              </w:rPr>
            </w:pPr>
            <w:r>
              <w:rPr>
                <w:rFonts w:hint="eastAsia" w:ascii="宋体" w:cs="宋体"/>
                <w:color w:val="auto"/>
                <w:kern w:val="0"/>
                <w:sz w:val="24"/>
                <w:szCs w:val="24"/>
                <w:lang w:bidi="ar-SA"/>
              </w:rPr>
              <w:t>成品油批发、零售、仓储经营单位</w:t>
            </w:r>
          </w:p>
        </w:tc>
        <w:tc>
          <w:tcPr>
            <w:tcW w:w="700" w:type="pct"/>
            <w:vMerge w:val="restart"/>
            <w:noWrap w:val="0"/>
            <w:vAlign w:val="center"/>
          </w:tcPr>
          <w:p>
            <w:pPr>
              <w:spacing w:line="240" w:lineRule="exact"/>
              <w:jc w:val="center"/>
              <w:textAlignment w:val="center"/>
              <w:rPr>
                <w:rFonts w:hint="eastAsia" w:ascii="宋体" w:cs="宋体"/>
                <w:color w:val="auto"/>
                <w:kern w:val="0"/>
                <w:sz w:val="24"/>
                <w:szCs w:val="24"/>
                <w:lang w:bidi="ar-SA"/>
              </w:rPr>
            </w:pPr>
            <w:r>
              <w:rPr>
                <w:rFonts w:hint="eastAsia" w:ascii="宋体" w:cs="宋体"/>
                <w:color w:val="auto"/>
                <w:kern w:val="0"/>
                <w:sz w:val="24"/>
                <w:szCs w:val="24"/>
                <w:lang w:bidi="ar-SA"/>
              </w:rPr>
              <w:t>对成品油企业经营活动情况的检查</w:t>
            </w:r>
          </w:p>
        </w:tc>
        <w:tc>
          <w:tcPr>
            <w:tcW w:w="546" w:type="pct"/>
            <w:noWrap w:val="0"/>
            <w:vAlign w:val="center"/>
          </w:tcPr>
          <w:p>
            <w:pPr>
              <w:spacing w:line="300" w:lineRule="exact"/>
              <w:jc w:val="center"/>
              <w:textAlignment w:val="center"/>
              <w:rPr>
                <w:rFonts w:hint="eastAsia" w:ascii="宋体" w:cs="宋体"/>
                <w:color w:val="auto"/>
                <w:kern w:val="0"/>
                <w:sz w:val="24"/>
                <w:szCs w:val="24"/>
                <w:lang w:bidi="ar-SA"/>
              </w:rPr>
            </w:pPr>
            <w:r>
              <w:rPr>
                <w:rFonts w:hint="eastAsia" w:ascii="宋体" w:cs="宋体"/>
                <w:color w:val="auto"/>
                <w:kern w:val="0"/>
                <w:sz w:val="24"/>
                <w:szCs w:val="24"/>
                <w:lang w:bidi="ar-SA"/>
              </w:rPr>
              <w:t>市应急管理局</w:t>
            </w:r>
          </w:p>
        </w:tc>
        <w:tc>
          <w:tcPr>
            <w:tcW w:w="971" w:type="pct"/>
            <w:noWrap w:val="0"/>
            <w:vAlign w:val="center"/>
          </w:tcPr>
          <w:p>
            <w:pPr>
              <w:spacing w:line="300" w:lineRule="exact"/>
              <w:jc w:val="left"/>
              <w:textAlignment w:val="center"/>
              <w:rPr>
                <w:rFonts w:hint="eastAsia" w:ascii="宋体" w:cs="宋体"/>
                <w:color w:val="auto"/>
                <w:kern w:val="0"/>
                <w:sz w:val="24"/>
                <w:szCs w:val="24"/>
                <w:lang w:bidi="ar-SA"/>
              </w:rPr>
            </w:pPr>
            <w:r>
              <w:rPr>
                <w:rFonts w:hint="eastAsia" w:ascii="宋体" w:cs="宋体"/>
                <w:color w:val="auto"/>
                <w:kern w:val="0"/>
                <w:sz w:val="24"/>
                <w:szCs w:val="24"/>
                <w:lang w:bidi="ar-SA"/>
              </w:rPr>
              <w:t>对安全生产的检查</w:t>
            </w:r>
          </w:p>
        </w:tc>
        <w:tc>
          <w:tcPr>
            <w:tcW w:w="507" w:type="pct"/>
            <w:vMerge w:val="restart"/>
            <w:noWrap w:val="0"/>
            <w:vAlign w:val="center"/>
          </w:tcPr>
          <w:p>
            <w:pPr>
              <w:spacing w:line="300" w:lineRule="exact"/>
              <w:jc w:val="center"/>
              <w:textAlignment w:val="center"/>
              <w:rPr>
                <w:rFonts w:hint="eastAsia" w:ascii="宋体" w:cs="宋体"/>
                <w:color w:val="auto"/>
                <w:kern w:val="0"/>
                <w:sz w:val="24"/>
                <w:szCs w:val="24"/>
                <w:lang w:bidi="ar-SA"/>
              </w:rPr>
            </w:pPr>
            <w:r>
              <w:rPr>
                <w:rFonts w:hint="eastAsia" w:ascii="宋体" w:cs="宋体"/>
                <w:color w:val="auto"/>
                <w:kern w:val="0"/>
                <w:sz w:val="24"/>
                <w:szCs w:val="24"/>
                <w:lang w:bidi="ar-SA"/>
              </w:rPr>
              <w:t>10月31日前</w:t>
            </w:r>
          </w:p>
        </w:tc>
        <w:tc>
          <w:tcPr>
            <w:tcW w:w="474" w:type="pct"/>
            <w:vMerge w:val="restart"/>
            <w:noWrap w:val="0"/>
            <w:vAlign w:val="center"/>
          </w:tcPr>
          <w:p>
            <w:pPr>
              <w:spacing w:line="260" w:lineRule="exact"/>
              <w:jc w:val="center"/>
              <w:textAlignment w:val="center"/>
              <w:rPr>
                <w:rFonts w:hint="eastAsia" w:ascii="宋体" w:eastAsia="仿宋_GB2312" w:cs="宋体"/>
                <w:color w:val="auto"/>
                <w:kern w:val="0"/>
                <w:sz w:val="24"/>
                <w:szCs w:val="24"/>
                <w:lang w:eastAsia="zh-CN" w:bidi="ar-SA"/>
              </w:rPr>
            </w:pPr>
            <w:r>
              <w:rPr>
                <w:rFonts w:hint="eastAsia" w:ascii="宋体" w:cs="宋体"/>
                <w:color w:val="auto"/>
                <w:kern w:val="0"/>
                <w:sz w:val="24"/>
                <w:szCs w:val="24"/>
                <w:lang w:eastAsia="zh-CN" w:bidi="ar-SA"/>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380" w:type="pct"/>
            <w:vMerge w:val="continue"/>
            <w:noWrap w:val="0"/>
            <w:vAlign w:val="center"/>
          </w:tcPr>
          <w:p>
            <w:pPr>
              <w:rPr>
                <w:color w:val="auto"/>
              </w:rPr>
            </w:pPr>
          </w:p>
        </w:tc>
        <w:tc>
          <w:tcPr>
            <w:tcW w:w="767" w:type="pct"/>
            <w:vMerge w:val="continue"/>
            <w:noWrap w:val="0"/>
            <w:vAlign w:val="center"/>
          </w:tcPr>
          <w:p>
            <w:pPr>
              <w:rPr>
                <w:color w:val="auto"/>
              </w:rPr>
            </w:pPr>
          </w:p>
        </w:tc>
        <w:tc>
          <w:tcPr>
            <w:tcW w:w="650" w:type="pct"/>
            <w:vMerge w:val="continue"/>
            <w:noWrap w:val="0"/>
            <w:vAlign w:val="center"/>
          </w:tcPr>
          <w:p>
            <w:pPr>
              <w:rPr>
                <w:color w:val="auto"/>
              </w:rPr>
            </w:pPr>
          </w:p>
        </w:tc>
        <w:tc>
          <w:tcPr>
            <w:tcW w:w="700" w:type="pct"/>
            <w:vMerge w:val="continue"/>
            <w:noWrap w:val="0"/>
            <w:vAlign w:val="center"/>
          </w:tcPr>
          <w:p>
            <w:pPr>
              <w:rPr>
                <w:color w:val="auto"/>
              </w:rPr>
            </w:pPr>
          </w:p>
        </w:tc>
        <w:tc>
          <w:tcPr>
            <w:tcW w:w="546" w:type="pct"/>
            <w:noWrap w:val="0"/>
            <w:vAlign w:val="center"/>
          </w:tcPr>
          <w:p>
            <w:pPr>
              <w:widowControl/>
              <w:spacing w:line="300" w:lineRule="exact"/>
              <w:jc w:val="center"/>
              <w:textAlignment w:val="center"/>
              <w:rPr>
                <w:rFonts w:hint="eastAsia" w:ascii="宋体" w:cs="宋体"/>
                <w:color w:val="auto"/>
                <w:kern w:val="0"/>
                <w:sz w:val="24"/>
                <w:szCs w:val="24"/>
                <w:lang w:bidi="ar-SA"/>
              </w:rPr>
            </w:pPr>
            <w:r>
              <w:rPr>
                <w:rFonts w:hint="eastAsia" w:ascii="宋体" w:cs="宋体"/>
                <w:color w:val="auto"/>
                <w:kern w:val="0"/>
                <w:sz w:val="24"/>
                <w:szCs w:val="24"/>
                <w:lang w:bidi="ar-SA"/>
              </w:rPr>
              <w:t>市公安局</w:t>
            </w:r>
          </w:p>
        </w:tc>
        <w:tc>
          <w:tcPr>
            <w:tcW w:w="971" w:type="pct"/>
            <w:noWrap w:val="0"/>
            <w:vAlign w:val="center"/>
          </w:tcPr>
          <w:p>
            <w:pPr>
              <w:widowControl/>
              <w:spacing w:line="300" w:lineRule="exact"/>
              <w:jc w:val="left"/>
              <w:textAlignment w:val="center"/>
              <w:rPr>
                <w:rFonts w:hint="eastAsia" w:ascii="宋体" w:cs="宋体"/>
                <w:color w:val="auto"/>
                <w:kern w:val="0"/>
                <w:sz w:val="24"/>
                <w:szCs w:val="24"/>
                <w:lang w:bidi="ar-SA"/>
              </w:rPr>
            </w:pPr>
            <w:r>
              <w:rPr>
                <w:rFonts w:hint="eastAsia" w:ascii="宋体" w:cs="宋体"/>
                <w:color w:val="auto"/>
                <w:kern w:val="0"/>
                <w:sz w:val="24"/>
                <w:szCs w:val="24"/>
                <w:lang w:bidi="ar-SA"/>
              </w:rPr>
              <w:t>对散装汽油销售的检查</w:t>
            </w:r>
          </w:p>
        </w:tc>
        <w:tc>
          <w:tcPr>
            <w:tcW w:w="507" w:type="pct"/>
            <w:vMerge w:val="continue"/>
            <w:noWrap w:val="0"/>
            <w:vAlign w:val="center"/>
          </w:tcPr>
          <w:p>
            <w:pPr>
              <w:rPr>
                <w:color w:val="auto"/>
              </w:rPr>
            </w:pPr>
          </w:p>
        </w:tc>
        <w:tc>
          <w:tcPr>
            <w:tcW w:w="474" w:type="pct"/>
            <w:vMerge w:val="continue"/>
            <w:noWrap w:val="0"/>
            <w:vAlign w:val="center"/>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380" w:type="pct"/>
            <w:vMerge w:val="continue"/>
            <w:noWrap w:val="0"/>
            <w:vAlign w:val="center"/>
          </w:tcPr>
          <w:p>
            <w:pPr>
              <w:rPr>
                <w:color w:val="auto"/>
              </w:rPr>
            </w:pPr>
          </w:p>
        </w:tc>
        <w:tc>
          <w:tcPr>
            <w:tcW w:w="767" w:type="pct"/>
            <w:vMerge w:val="continue"/>
            <w:noWrap w:val="0"/>
            <w:vAlign w:val="center"/>
          </w:tcPr>
          <w:p>
            <w:pPr>
              <w:rPr>
                <w:color w:val="auto"/>
              </w:rPr>
            </w:pPr>
          </w:p>
        </w:tc>
        <w:tc>
          <w:tcPr>
            <w:tcW w:w="650" w:type="pct"/>
            <w:vMerge w:val="continue"/>
            <w:noWrap w:val="0"/>
            <w:vAlign w:val="center"/>
          </w:tcPr>
          <w:p>
            <w:pPr>
              <w:rPr>
                <w:color w:val="auto"/>
              </w:rPr>
            </w:pPr>
          </w:p>
        </w:tc>
        <w:tc>
          <w:tcPr>
            <w:tcW w:w="700" w:type="pct"/>
            <w:vMerge w:val="continue"/>
            <w:noWrap w:val="0"/>
            <w:vAlign w:val="center"/>
          </w:tcPr>
          <w:p>
            <w:pPr>
              <w:rPr>
                <w:color w:val="auto"/>
              </w:rPr>
            </w:pPr>
          </w:p>
        </w:tc>
        <w:tc>
          <w:tcPr>
            <w:tcW w:w="546" w:type="pct"/>
            <w:noWrap w:val="0"/>
            <w:vAlign w:val="center"/>
          </w:tcPr>
          <w:p>
            <w:pPr>
              <w:widowControl/>
              <w:spacing w:line="300" w:lineRule="exact"/>
              <w:jc w:val="center"/>
              <w:textAlignment w:val="center"/>
              <w:rPr>
                <w:rFonts w:hint="eastAsia" w:ascii="宋体" w:cs="宋体"/>
                <w:color w:val="auto"/>
                <w:kern w:val="0"/>
                <w:sz w:val="24"/>
                <w:szCs w:val="24"/>
                <w:lang w:bidi="ar-SA"/>
              </w:rPr>
            </w:pPr>
            <w:r>
              <w:rPr>
                <w:rFonts w:hint="eastAsia" w:ascii="宋体" w:cs="宋体"/>
                <w:color w:val="auto"/>
                <w:kern w:val="0"/>
                <w:sz w:val="24"/>
                <w:szCs w:val="24"/>
                <w:lang w:bidi="ar-SA"/>
              </w:rPr>
              <w:t>市生态环境局</w:t>
            </w:r>
          </w:p>
        </w:tc>
        <w:tc>
          <w:tcPr>
            <w:tcW w:w="971" w:type="pct"/>
            <w:noWrap w:val="0"/>
            <w:vAlign w:val="center"/>
          </w:tcPr>
          <w:p>
            <w:pPr>
              <w:widowControl/>
              <w:spacing w:line="300" w:lineRule="exact"/>
              <w:jc w:val="left"/>
              <w:textAlignment w:val="center"/>
              <w:rPr>
                <w:rFonts w:hint="eastAsia" w:ascii="宋体" w:cs="宋体"/>
                <w:color w:val="auto"/>
                <w:kern w:val="0"/>
                <w:sz w:val="24"/>
                <w:szCs w:val="24"/>
                <w:lang w:bidi="ar-SA"/>
              </w:rPr>
            </w:pPr>
            <w:r>
              <w:rPr>
                <w:rFonts w:hint="eastAsia" w:ascii="宋体" w:cs="宋体"/>
                <w:color w:val="auto"/>
                <w:kern w:val="0"/>
                <w:sz w:val="24"/>
                <w:szCs w:val="24"/>
                <w:lang w:bidi="ar-SA"/>
              </w:rPr>
              <w:t>对油气回收治理、危废的检查</w:t>
            </w:r>
          </w:p>
        </w:tc>
        <w:tc>
          <w:tcPr>
            <w:tcW w:w="507" w:type="pct"/>
            <w:vMerge w:val="continue"/>
            <w:noWrap w:val="0"/>
            <w:vAlign w:val="center"/>
          </w:tcPr>
          <w:p>
            <w:pPr>
              <w:rPr>
                <w:color w:val="auto"/>
              </w:rPr>
            </w:pPr>
          </w:p>
        </w:tc>
        <w:tc>
          <w:tcPr>
            <w:tcW w:w="474" w:type="pct"/>
            <w:vMerge w:val="continue"/>
            <w:noWrap w:val="0"/>
            <w:vAlign w:val="center"/>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380" w:type="pct"/>
            <w:vMerge w:val="continue"/>
            <w:noWrap w:val="0"/>
            <w:vAlign w:val="center"/>
          </w:tcPr>
          <w:p>
            <w:pPr>
              <w:rPr>
                <w:color w:val="auto"/>
              </w:rPr>
            </w:pPr>
          </w:p>
        </w:tc>
        <w:tc>
          <w:tcPr>
            <w:tcW w:w="767" w:type="pct"/>
            <w:vMerge w:val="continue"/>
            <w:noWrap w:val="0"/>
            <w:vAlign w:val="center"/>
          </w:tcPr>
          <w:p>
            <w:pPr>
              <w:rPr>
                <w:color w:val="auto"/>
              </w:rPr>
            </w:pPr>
          </w:p>
        </w:tc>
        <w:tc>
          <w:tcPr>
            <w:tcW w:w="650" w:type="pct"/>
            <w:vMerge w:val="continue"/>
            <w:noWrap w:val="0"/>
            <w:vAlign w:val="center"/>
          </w:tcPr>
          <w:p>
            <w:pPr>
              <w:rPr>
                <w:color w:val="auto"/>
              </w:rPr>
            </w:pPr>
          </w:p>
        </w:tc>
        <w:tc>
          <w:tcPr>
            <w:tcW w:w="700" w:type="pct"/>
            <w:vMerge w:val="continue"/>
            <w:noWrap w:val="0"/>
            <w:vAlign w:val="center"/>
          </w:tcPr>
          <w:p>
            <w:pPr>
              <w:rPr>
                <w:color w:val="auto"/>
              </w:rPr>
            </w:pPr>
          </w:p>
        </w:tc>
        <w:tc>
          <w:tcPr>
            <w:tcW w:w="546" w:type="pct"/>
            <w:noWrap w:val="0"/>
            <w:vAlign w:val="center"/>
          </w:tcPr>
          <w:p>
            <w:pPr>
              <w:widowControl/>
              <w:spacing w:line="300" w:lineRule="exact"/>
              <w:jc w:val="center"/>
              <w:textAlignment w:val="center"/>
              <w:rPr>
                <w:rFonts w:hint="eastAsia" w:ascii="宋体" w:cs="宋体"/>
                <w:color w:val="auto"/>
                <w:kern w:val="0"/>
                <w:sz w:val="24"/>
                <w:szCs w:val="24"/>
                <w:lang w:bidi="ar-SA"/>
              </w:rPr>
            </w:pPr>
            <w:r>
              <w:rPr>
                <w:rFonts w:hint="eastAsia" w:ascii="宋体" w:cs="宋体"/>
                <w:color w:val="auto"/>
                <w:kern w:val="0"/>
                <w:sz w:val="24"/>
                <w:szCs w:val="24"/>
                <w:lang w:bidi="ar-SA"/>
              </w:rPr>
              <w:t>市市场监管局</w:t>
            </w:r>
          </w:p>
        </w:tc>
        <w:tc>
          <w:tcPr>
            <w:tcW w:w="971" w:type="pct"/>
            <w:noWrap w:val="0"/>
            <w:vAlign w:val="center"/>
          </w:tcPr>
          <w:p>
            <w:pPr>
              <w:widowControl/>
              <w:spacing w:line="300" w:lineRule="exact"/>
              <w:jc w:val="left"/>
              <w:textAlignment w:val="center"/>
              <w:rPr>
                <w:rFonts w:hint="eastAsia" w:ascii="宋体" w:cs="宋体"/>
                <w:color w:val="auto"/>
                <w:kern w:val="0"/>
                <w:sz w:val="24"/>
                <w:szCs w:val="24"/>
                <w:lang w:bidi="ar-SA"/>
              </w:rPr>
            </w:pPr>
            <w:r>
              <w:rPr>
                <w:rFonts w:hint="eastAsia" w:ascii="宋体" w:cs="宋体"/>
                <w:color w:val="auto"/>
                <w:kern w:val="0"/>
                <w:sz w:val="24"/>
                <w:szCs w:val="24"/>
                <w:lang w:bidi="ar-SA"/>
              </w:rPr>
              <w:t>对油品质量、计量的检查</w:t>
            </w:r>
          </w:p>
        </w:tc>
        <w:tc>
          <w:tcPr>
            <w:tcW w:w="507" w:type="pct"/>
            <w:vMerge w:val="continue"/>
            <w:noWrap w:val="0"/>
            <w:vAlign w:val="center"/>
          </w:tcPr>
          <w:p>
            <w:pPr>
              <w:rPr>
                <w:color w:val="auto"/>
              </w:rPr>
            </w:pPr>
          </w:p>
        </w:tc>
        <w:tc>
          <w:tcPr>
            <w:tcW w:w="474" w:type="pct"/>
            <w:vMerge w:val="continue"/>
            <w:noWrap w:val="0"/>
            <w:vAlign w:val="center"/>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380" w:type="pct"/>
            <w:vMerge w:val="continue"/>
            <w:noWrap w:val="0"/>
            <w:vAlign w:val="center"/>
          </w:tcPr>
          <w:p>
            <w:pPr>
              <w:rPr>
                <w:color w:val="auto"/>
              </w:rPr>
            </w:pPr>
          </w:p>
        </w:tc>
        <w:tc>
          <w:tcPr>
            <w:tcW w:w="767" w:type="pct"/>
            <w:vMerge w:val="continue"/>
            <w:noWrap w:val="0"/>
            <w:vAlign w:val="center"/>
          </w:tcPr>
          <w:p>
            <w:pPr>
              <w:rPr>
                <w:color w:val="auto"/>
              </w:rPr>
            </w:pPr>
          </w:p>
        </w:tc>
        <w:tc>
          <w:tcPr>
            <w:tcW w:w="650" w:type="pct"/>
            <w:vMerge w:val="continue"/>
            <w:noWrap w:val="0"/>
            <w:vAlign w:val="center"/>
          </w:tcPr>
          <w:p>
            <w:pPr>
              <w:rPr>
                <w:color w:val="auto"/>
              </w:rPr>
            </w:pPr>
          </w:p>
        </w:tc>
        <w:tc>
          <w:tcPr>
            <w:tcW w:w="700" w:type="pct"/>
            <w:vMerge w:val="continue"/>
            <w:noWrap w:val="0"/>
            <w:vAlign w:val="center"/>
          </w:tcPr>
          <w:p>
            <w:pPr>
              <w:rPr>
                <w:color w:val="auto"/>
              </w:rPr>
            </w:pPr>
          </w:p>
        </w:tc>
        <w:tc>
          <w:tcPr>
            <w:tcW w:w="546" w:type="pct"/>
            <w:noWrap w:val="0"/>
            <w:vAlign w:val="center"/>
          </w:tcPr>
          <w:p>
            <w:pPr>
              <w:widowControl/>
              <w:spacing w:line="300" w:lineRule="exact"/>
              <w:jc w:val="center"/>
              <w:textAlignment w:val="center"/>
              <w:rPr>
                <w:rFonts w:hint="eastAsia" w:ascii="宋体" w:cs="宋体"/>
                <w:color w:val="auto"/>
                <w:kern w:val="0"/>
                <w:sz w:val="24"/>
                <w:szCs w:val="24"/>
                <w:lang w:bidi="ar-SA"/>
              </w:rPr>
            </w:pPr>
            <w:r>
              <w:rPr>
                <w:rFonts w:hint="eastAsia" w:ascii="宋体" w:cs="宋体"/>
                <w:color w:val="auto"/>
                <w:kern w:val="0"/>
                <w:sz w:val="24"/>
                <w:szCs w:val="24"/>
                <w:lang w:bidi="ar-SA"/>
              </w:rPr>
              <w:t>市气象局</w:t>
            </w:r>
          </w:p>
        </w:tc>
        <w:tc>
          <w:tcPr>
            <w:tcW w:w="971" w:type="pct"/>
            <w:noWrap w:val="0"/>
            <w:vAlign w:val="center"/>
          </w:tcPr>
          <w:p>
            <w:pPr>
              <w:widowControl/>
              <w:spacing w:line="300" w:lineRule="exact"/>
              <w:jc w:val="left"/>
              <w:textAlignment w:val="center"/>
              <w:rPr>
                <w:rFonts w:hint="eastAsia" w:ascii="宋体" w:cs="宋体"/>
                <w:color w:val="auto"/>
                <w:kern w:val="0"/>
                <w:sz w:val="24"/>
                <w:szCs w:val="24"/>
                <w:lang w:bidi="ar-SA"/>
              </w:rPr>
            </w:pPr>
            <w:r>
              <w:rPr>
                <w:rFonts w:hint="eastAsia" w:ascii="宋体" w:cs="宋体"/>
                <w:color w:val="auto"/>
                <w:kern w:val="0"/>
                <w:sz w:val="24"/>
                <w:szCs w:val="24"/>
                <w:lang w:bidi="ar-SA"/>
              </w:rPr>
              <w:t>对成品油企业落实防雷防静电安全措施情况的检查</w:t>
            </w:r>
          </w:p>
        </w:tc>
        <w:tc>
          <w:tcPr>
            <w:tcW w:w="507" w:type="pct"/>
            <w:vMerge w:val="continue"/>
            <w:noWrap w:val="0"/>
            <w:vAlign w:val="center"/>
          </w:tcPr>
          <w:p>
            <w:pPr>
              <w:rPr>
                <w:color w:val="auto"/>
              </w:rPr>
            </w:pPr>
          </w:p>
        </w:tc>
        <w:tc>
          <w:tcPr>
            <w:tcW w:w="474" w:type="pct"/>
            <w:vMerge w:val="continue"/>
            <w:noWrap w:val="0"/>
            <w:vAlign w:val="center"/>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380" w:type="pct"/>
            <w:noWrap w:val="0"/>
            <w:vAlign w:val="center"/>
          </w:tcPr>
          <w:p>
            <w:pPr>
              <w:numPr>
                <w:ilvl w:val="0"/>
                <w:numId w:val="0"/>
              </w:numPr>
              <w:spacing w:line="300" w:lineRule="exact"/>
              <w:ind w:leftChars="0"/>
              <w:jc w:val="both"/>
              <w:rPr>
                <w:rFonts w:hint="eastAsia" w:ascii="宋体" w:eastAsia="仿宋_GB2312" w:cs="宋体"/>
                <w:color w:val="auto"/>
                <w:sz w:val="24"/>
                <w:szCs w:val="24"/>
                <w:lang w:val="en-US" w:eastAsia="zh-CN" w:bidi="ar-SA"/>
              </w:rPr>
            </w:pPr>
            <w:r>
              <w:rPr>
                <w:rFonts w:hint="eastAsia" w:ascii="宋体" w:cs="宋体"/>
                <w:color w:val="auto"/>
                <w:sz w:val="24"/>
                <w:szCs w:val="24"/>
                <w:lang w:val="en-US" w:eastAsia="zh-CN" w:bidi="ar-SA"/>
              </w:rPr>
              <w:t>2</w:t>
            </w:r>
          </w:p>
        </w:tc>
        <w:tc>
          <w:tcPr>
            <w:tcW w:w="767" w:type="pct"/>
            <w:noWrap w:val="0"/>
            <w:vAlign w:val="center"/>
          </w:tcPr>
          <w:p>
            <w:pPr>
              <w:widowControl/>
              <w:spacing w:line="300" w:lineRule="exact"/>
              <w:jc w:val="left"/>
              <w:textAlignment w:val="center"/>
              <w:rPr>
                <w:rFonts w:hint="eastAsia" w:ascii="宋体" w:cs="宋体"/>
                <w:color w:val="auto"/>
                <w:sz w:val="24"/>
                <w:szCs w:val="24"/>
                <w:lang w:bidi="ar-SA"/>
              </w:rPr>
            </w:pPr>
            <w:r>
              <w:rPr>
                <w:rFonts w:hint="eastAsia" w:ascii="宋体" w:cs="宋体"/>
                <w:color w:val="auto"/>
                <w:kern w:val="0"/>
                <w:sz w:val="24"/>
                <w:szCs w:val="24"/>
                <w:lang w:bidi="ar-SA"/>
              </w:rPr>
              <w:t>广元市2024年盐业市场抽查检查</w:t>
            </w:r>
          </w:p>
        </w:tc>
        <w:tc>
          <w:tcPr>
            <w:tcW w:w="650" w:type="pct"/>
            <w:noWrap w:val="0"/>
            <w:vAlign w:val="center"/>
          </w:tcPr>
          <w:p>
            <w:pPr>
              <w:spacing w:line="240" w:lineRule="exact"/>
              <w:jc w:val="left"/>
              <w:rPr>
                <w:rFonts w:hint="eastAsia" w:ascii="宋体" w:cs="宋体"/>
                <w:color w:val="auto"/>
                <w:sz w:val="24"/>
                <w:szCs w:val="24"/>
                <w:lang w:bidi="ar-SA"/>
              </w:rPr>
            </w:pPr>
            <w:r>
              <w:rPr>
                <w:rFonts w:hint="eastAsia" w:ascii="宋体" w:cs="宋体"/>
                <w:color w:val="auto"/>
                <w:kern w:val="0"/>
                <w:sz w:val="24"/>
                <w:szCs w:val="24"/>
                <w:lang w:bidi="ar-SA"/>
              </w:rPr>
              <w:t>食盐定点批发企业、食盐零售单位和用盐单位</w:t>
            </w:r>
          </w:p>
        </w:tc>
        <w:tc>
          <w:tcPr>
            <w:tcW w:w="700" w:type="pct"/>
            <w:noWrap w:val="0"/>
            <w:vAlign w:val="center"/>
          </w:tcPr>
          <w:p>
            <w:pPr>
              <w:spacing w:line="240" w:lineRule="exact"/>
              <w:rPr>
                <w:rFonts w:hint="eastAsia" w:ascii="宋体" w:cs="宋体"/>
                <w:color w:val="auto"/>
                <w:sz w:val="24"/>
                <w:szCs w:val="24"/>
                <w:lang w:bidi="ar-SA"/>
              </w:rPr>
            </w:pPr>
            <w:r>
              <w:rPr>
                <w:rFonts w:hint="eastAsia" w:ascii="宋体" w:cs="宋体"/>
                <w:color w:val="auto"/>
                <w:kern w:val="0"/>
                <w:sz w:val="24"/>
                <w:szCs w:val="24"/>
                <w:lang w:bidi="ar-SA"/>
              </w:rPr>
              <w:t>对食盐经营主体经营状况及非食用盐管理情况的检查</w:t>
            </w:r>
          </w:p>
        </w:tc>
        <w:tc>
          <w:tcPr>
            <w:tcW w:w="546" w:type="pct"/>
            <w:noWrap w:val="0"/>
            <w:vAlign w:val="center"/>
          </w:tcPr>
          <w:p>
            <w:pPr>
              <w:widowControl/>
              <w:spacing w:line="300" w:lineRule="exact"/>
              <w:jc w:val="center"/>
              <w:textAlignment w:val="center"/>
              <w:rPr>
                <w:rFonts w:hint="eastAsia" w:ascii="宋体" w:cs="宋体"/>
                <w:color w:val="auto"/>
                <w:sz w:val="24"/>
                <w:szCs w:val="24"/>
                <w:lang w:bidi="ar-SA"/>
              </w:rPr>
            </w:pPr>
            <w:r>
              <w:rPr>
                <w:rFonts w:hint="eastAsia" w:ascii="宋体" w:cs="宋体"/>
                <w:color w:val="auto"/>
                <w:kern w:val="0"/>
                <w:sz w:val="24"/>
                <w:szCs w:val="24"/>
                <w:lang w:bidi="ar-SA"/>
              </w:rPr>
              <w:t>市市场监管局</w:t>
            </w:r>
          </w:p>
        </w:tc>
        <w:tc>
          <w:tcPr>
            <w:tcW w:w="971" w:type="pct"/>
            <w:noWrap w:val="0"/>
            <w:vAlign w:val="center"/>
          </w:tcPr>
          <w:p>
            <w:pPr>
              <w:widowControl/>
              <w:spacing w:line="300" w:lineRule="exact"/>
              <w:jc w:val="left"/>
              <w:textAlignment w:val="center"/>
              <w:rPr>
                <w:rFonts w:hint="eastAsia" w:ascii="宋体" w:cs="宋体"/>
                <w:color w:val="auto"/>
                <w:sz w:val="24"/>
                <w:szCs w:val="24"/>
                <w:lang w:bidi="ar-SA"/>
              </w:rPr>
            </w:pPr>
            <w:r>
              <w:rPr>
                <w:rFonts w:hint="eastAsia" w:ascii="宋体" w:cs="宋体"/>
                <w:color w:val="auto"/>
                <w:kern w:val="0"/>
                <w:sz w:val="24"/>
                <w:szCs w:val="24"/>
                <w:lang w:bidi="ar-SA"/>
              </w:rPr>
              <w:t>对食盐质量的检查</w:t>
            </w:r>
          </w:p>
        </w:tc>
        <w:tc>
          <w:tcPr>
            <w:tcW w:w="507" w:type="pct"/>
            <w:noWrap w:val="0"/>
            <w:vAlign w:val="center"/>
          </w:tcPr>
          <w:p>
            <w:pPr>
              <w:spacing w:line="300" w:lineRule="exact"/>
              <w:jc w:val="center"/>
              <w:textAlignment w:val="center"/>
              <w:rPr>
                <w:rFonts w:hint="eastAsia" w:ascii="宋体" w:cs="宋体"/>
                <w:color w:val="auto"/>
                <w:kern w:val="0"/>
                <w:sz w:val="24"/>
                <w:szCs w:val="24"/>
                <w:lang w:bidi="ar-SA"/>
              </w:rPr>
            </w:pPr>
            <w:r>
              <w:rPr>
                <w:rFonts w:hint="eastAsia" w:ascii="宋体" w:cs="宋体"/>
                <w:color w:val="auto"/>
                <w:kern w:val="0"/>
                <w:sz w:val="24"/>
                <w:szCs w:val="24"/>
                <w:lang w:bidi="ar-SA"/>
              </w:rPr>
              <w:t>10月31日前</w:t>
            </w:r>
          </w:p>
        </w:tc>
        <w:tc>
          <w:tcPr>
            <w:tcW w:w="474" w:type="pct"/>
            <w:noWrap w:val="0"/>
            <w:vAlign w:val="center"/>
          </w:tcPr>
          <w:p>
            <w:pPr>
              <w:rPr>
                <w:rFonts w:hint="eastAsia" w:ascii="宋体" w:cs="宋体"/>
                <w:color w:val="auto"/>
                <w:sz w:val="24"/>
                <w:szCs w:val="24"/>
                <w:lang w:bidi="ar-SA"/>
              </w:rPr>
            </w:pPr>
            <w:r>
              <w:rPr>
                <w:rFonts w:hint="eastAsia" w:ascii="宋体" w:cs="宋体"/>
                <w:color w:val="auto"/>
                <w:kern w:val="0"/>
                <w:sz w:val="24"/>
                <w:szCs w:val="24"/>
                <w:lang w:eastAsia="zh-CN" w:bidi="ar-SA"/>
              </w:rPr>
              <w:t>双随机、一公开</w:t>
            </w:r>
          </w:p>
        </w:tc>
      </w:tr>
    </w:tbl>
    <w:p>
      <w:pPr>
        <w:spacing w:line="576" w:lineRule="exact"/>
        <w:rPr>
          <w:rFonts w:hint="eastAsia" w:ascii="黑体" w:eastAsia="黑体" w:cs="黑体"/>
          <w:b w:val="0"/>
          <w:bCs w:val="0"/>
          <w:color w:val="auto"/>
          <w:spacing w:val="-6"/>
          <w:sz w:val="32"/>
          <w:szCs w:val="32"/>
          <w:lang w:val="en-US" w:eastAsia="zh-CN"/>
        </w:rPr>
      </w:pPr>
    </w:p>
    <w:p>
      <w:pPr>
        <w:spacing w:line="576" w:lineRule="exact"/>
        <w:ind w:firstLine="616" w:firstLineChars="200"/>
        <w:rPr>
          <w:rFonts w:hint="eastAsia" w:ascii="黑体" w:eastAsia="黑体"/>
          <w:b w:val="0"/>
          <w:color w:val="auto"/>
          <w:sz w:val="24"/>
          <w:szCs w:val="24"/>
        </w:rPr>
      </w:pPr>
      <w:r>
        <w:rPr>
          <w:rFonts w:hint="eastAsia" w:ascii="黑体" w:eastAsia="黑体" w:cs="黑体"/>
          <w:b w:val="0"/>
          <w:bCs w:val="0"/>
          <w:color w:val="auto"/>
          <w:spacing w:val="-6"/>
          <w:sz w:val="32"/>
          <w:szCs w:val="32"/>
          <w:lang w:val="en-US" w:eastAsia="zh-CN"/>
        </w:rPr>
        <w:t>八、</w:t>
      </w:r>
      <w:r>
        <w:rPr>
          <w:rFonts w:hint="eastAsia" w:ascii="黑体" w:eastAsia="黑体" w:cs="仿宋_GB2312"/>
          <w:b w:val="0"/>
          <w:bCs/>
          <w:color w:val="auto"/>
          <w:sz w:val="32"/>
          <w:szCs w:val="32"/>
        </w:rPr>
        <w:t>广元市经济和信息化局行政执法文书样式</w:t>
      </w:r>
    </w:p>
    <w:p>
      <w:pPr>
        <w:pStyle w:val="3"/>
        <w:widowControl/>
        <w:spacing w:before="0" w:beforeAutospacing="0" w:after="150" w:afterAutospacing="0" w:line="576" w:lineRule="exact"/>
        <w:ind w:firstLine="700" w:firstLineChars="200"/>
        <w:rPr>
          <w:rFonts w:ascii="仿宋_GB2312" w:eastAsia="仿宋_GB2312" w:cs="仿宋_GB2312"/>
          <w:b w:val="0"/>
          <w:bCs/>
          <w:color w:val="auto"/>
          <w:sz w:val="32"/>
          <w:szCs w:val="32"/>
          <w:shd w:val="clear" w:color="auto" w:fill="FFFFFF"/>
        </w:rPr>
      </w:pPr>
      <w:r>
        <w:rPr>
          <w:rFonts w:hint="eastAsia" w:ascii="仿宋_GB2312" w:eastAsia="仿宋_GB2312" w:cs="仿宋_GB2312"/>
          <w:b w:val="0"/>
          <w:bCs/>
          <w:color w:val="auto"/>
          <w:spacing w:val="15"/>
          <w:sz w:val="32"/>
          <w:szCs w:val="32"/>
          <w:shd w:val="clear" w:color="auto" w:fill="FFFFFF"/>
          <w:lang w:eastAsia="zh-CN"/>
        </w:rPr>
        <w:t>参照《</w:t>
      </w:r>
      <w:r>
        <w:rPr>
          <w:rFonts w:ascii="仿宋_GB2312" w:eastAsia="仿宋_GB2312" w:cs="仿宋_GB2312"/>
          <w:b w:val="0"/>
          <w:bCs/>
          <w:color w:val="auto"/>
          <w:spacing w:val="15"/>
          <w:sz w:val="32"/>
          <w:szCs w:val="32"/>
          <w:shd w:val="clear" w:color="auto" w:fill="FFFFFF"/>
        </w:rPr>
        <w:t>四川省经济和信息化委员会办公室关于印发</w:t>
      </w:r>
      <w:r>
        <w:rPr>
          <w:rFonts w:hint="default" w:ascii="仿宋_GB2312" w:eastAsia="仿宋_GB2312" w:cs="仿宋_GB2312"/>
          <w:b w:val="0"/>
          <w:bCs/>
          <w:color w:val="auto"/>
          <w:spacing w:val="15"/>
          <w:sz w:val="32"/>
          <w:szCs w:val="32"/>
          <w:shd w:val="clear" w:color="auto" w:fill="FFFFFF"/>
          <w:lang w:val="en-US"/>
        </w:rPr>
        <w:t>&lt;</w:t>
      </w:r>
      <w:r>
        <w:rPr>
          <w:rFonts w:ascii="仿宋_GB2312" w:eastAsia="仿宋_GB2312" w:cs="仿宋_GB2312"/>
          <w:b w:val="0"/>
          <w:bCs/>
          <w:color w:val="auto"/>
          <w:spacing w:val="15"/>
          <w:sz w:val="32"/>
          <w:szCs w:val="32"/>
          <w:shd w:val="clear" w:color="auto" w:fill="FFFFFF"/>
        </w:rPr>
        <w:t>四川省经济和信息化系统行政执法文书</w:t>
      </w:r>
      <w:r>
        <w:rPr>
          <w:rFonts w:hint="default" w:ascii="仿宋_GB2312" w:eastAsia="仿宋_GB2312" w:cs="仿宋_GB2312"/>
          <w:b w:val="0"/>
          <w:bCs/>
          <w:color w:val="auto"/>
          <w:spacing w:val="15"/>
          <w:sz w:val="32"/>
          <w:szCs w:val="32"/>
          <w:shd w:val="clear" w:color="auto" w:fill="FFFFFF"/>
          <w:lang w:val="en-US"/>
        </w:rPr>
        <w:t>&gt;</w:t>
      </w:r>
      <w:r>
        <w:rPr>
          <w:rFonts w:ascii="仿宋_GB2312" w:eastAsia="仿宋_GB2312" w:cs="仿宋_GB2312"/>
          <w:b w:val="0"/>
          <w:bCs/>
          <w:color w:val="auto"/>
          <w:spacing w:val="15"/>
          <w:sz w:val="32"/>
          <w:szCs w:val="32"/>
          <w:shd w:val="clear" w:color="auto" w:fill="FFFFFF"/>
        </w:rPr>
        <w:t>的通知</w:t>
      </w:r>
      <w:r>
        <w:rPr>
          <w:rFonts w:hint="eastAsia" w:ascii="仿宋_GB2312" w:eastAsia="仿宋_GB2312" w:cs="仿宋_GB2312"/>
          <w:b w:val="0"/>
          <w:bCs/>
          <w:color w:val="auto"/>
          <w:spacing w:val="15"/>
          <w:sz w:val="32"/>
          <w:szCs w:val="32"/>
          <w:shd w:val="clear" w:color="auto" w:fill="FFFFFF"/>
          <w:lang w:eastAsia="zh-CN"/>
        </w:rPr>
        <w:t>》</w:t>
      </w:r>
      <w:r>
        <w:rPr>
          <w:rFonts w:ascii="仿宋_GB2312" w:eastAsia="仿宋_GB2312" w:cs="仿宋_GB2312"/>
          <w:b w:val="0"/>
          <w:bCs/>
          <w:color w:val="auto"/>
          <w:sz w:val="32"/>
          <w:szCs w:val="32"/>
          <w:shd w:val="clear" w:color="auto" w:fill="FFFFFF"/>
        </w:rPr>
        <w:t>(川经信办法规</w:t>
      </w:r>
      <w:r>
        <w:rPr>
          <w:rFonts w:hint="eastAsia" w:ascii="仿宋_GB2312" w:eastAsia="仿宋_GB2312" w:cs="仿宋_GB2312"/>
          <w:b w:val="0"/>
          <w:bCs/>
          <w:color w:val="auto"/>
          <w:sz w:val="32"/>
          <w:szCs w:val="32"/>
          <w:shd w:val="clear" w:color="auto" w:fill="FFFFFF"/>
        </w:rPr>
        <w:t>〔</w:t>
      </w:r>
      <w:r>
        <w:rPr>
          <w:rFonts w:ascii="仿宋_GB2312" w:eastAsia="仿宋_GB2312" w:cs="仿宋_GB2312"/>
          <w:b w:val="0"/>
          <w:bCs/>
          <w:color w:val="auto"/>
          <w:sz w:val="32"/>
          <w:szCs w:val="32"/>
          <w:shd w:val="clear" w:color="auto" w:fill="FFFFFF"/>
        </w:rPr>
        <w:t>2015</w:t>
      </w:r>
      <w:r>
        <w:rPr>
          <w:rFonts w:hint="eastAsia" w:ascii="仿宋_GB2312" w:eastAsia="仿宋_GB2312" w:cs="仿宋_GB2312"/>
          <w:b w:val="0"/>
          <w:bCs/>
          <w:color w:val="auto"/>
          <w:sz w:val="32"/>
          <w:szCs w:val="32"/>
          <w:shd w:val="clear" w:color="auto" w:fill="FFFFFF"/>
        </w:rPr>
        <w:t>〕</w:t>
      </w:r>
      <w:r>
        <w:rPr>
          <w:rFonts w:ascii="仿宋_GB2312" w:eastAsia="仿宋_GB2312" w:cs="仿宋_GB2312"/>
          <w:b w:val="0"/>
          <w:bCs/>
          <w:color w:val="auto"/>
          <w:sz w:val="32"/>
          <w:szCs w:val="32"/>
          <w:shd w:val="clear" w:color="auto" w:fill="FFFFFF"/>
        </w:rPr>
        <w:t>6号)</w:t>
      </w:r>
    </w:p>
    <w:p>
      <w:pPr>
        <w:snapToGrid w:val="0"/>
        <w:spacing w:line="360" w:lineRule="auto"/>
        <w:jc w:val="center"/>
        <w:outlineLvl w:val="0"/>
        <w:rPr>
          <w:rFonts w:ascii="黑体" w:eastAsia="黑体"/>
          <w:bCs/>
          <w:color w:val="auto"/>
          <w:sz w:val="44"/>
          <w:szCs w:val="44"/>
        </w:rPr>
        <w:sectPr>
          <w:footerReference r:id="rId3" w:type="default"/>
          <w:pgSz w:w="11906" w:h="16838"/>
          <w:pgMar w:top="1588" w:right="1474" w:bottom="1588" w:left="1588" w:header="851" w:footer="992" w:gutter="0"/>
          <w:cols w:space="720" w:num="1"/>
          <w:docGrid w:type="lines" w:linePitch="312" w:charSpace="-6553"/>
        </w:sectPr>
      </w:pPr>
    </w:p>
    <w:p>
      <w:pPr>
        <w:spacing w:line="576" w:lineRule="exact"/>
        <w:ind w:left="0" w:firstLine="608" w:firstLineChars="200"/>
        <w:rPr>
          <w:rFonts w:hint="eastAsia" w:ascii="黑体" w:eastAsia="黑体" w:cs="仿宋_GB2312"/>
          <w:b w:val="0"/>
          <w:bCs/>
          <w:color w:val="auto"/>
          <w:sz w:val="32"/>
          <w:szCs w:val="32"/>
        </w:rPr>
      </w:pPr>
      <w:r>
        <w:rPr>
          <w:rFonts w:hint="eastAsia" w:ascii="黑体" w:eastAsia="黑体" w:cs="黑体"/>
          <w:b w:val="0"/>
          <w:bCs w:val="0"/>
          <w:color w:val="auto"/>
          <w:spacing w:val="-6"/>
          <w:sz w:val="32"/>
          <w:szCs w:val="32"/>
          <w:lang w:val="en-US" w:eastAsia="zh-CN"/>
        </w:rPr>
        <w:t>九、</w:t>
      </w:r>
      <w:r>
        <w:rPr>
          <w:rFonts w:hint="eastAsia" w:ascii="黑体" w:eastAsia="黑体" w:cs="仿宋_GB2312"/>
          <w:b w:val="0"/>
          <w:bCs/>
          <w:color w:val="auto"/>
          <w:sz w:val="32"/>
          <w:szCs w:val="32"/>
        </w:rPr>
        <w:t>广元市经济和信息化局上年度双随机抽查结果、行政许可和处罚决定、上年度本机关行政执法数据总体情况</w:t>
      </w:r>
    </w:p>
    <w:p>
      <w:pPr>
        <w:spacing w:line="576" w:lineRule="exact"/>
        <w:ind w:left="630"/>
        <w:rPr>
          <w:rFonts w:hint="eastAsia" w:ascii="仿宋_GB2312" w:eastAsia="仿宋_GB2312" w:cs="仿宋_GB2312"/>
          <w:color w:val="auto"/>
          <w:sz w:val="32"/>
          <w:szCs w:val="32"/>
        </w:rPr>
      </w:pPr>
      <w:r>
        <w:rPr>
          <w:rFonts w:hint="eastAsia" w:ascii="仿宋_GB2312" w:eastAsia="仿宋_GB2312" w:cs="仿宋_GB2312"/>
          <w:color w:val="auto"/>
          <w:sz w:val="32"/>
          <w:szCs w:val="32"/>
        </w:rPr>
        <w:t>（一）上年度双随机抽查结果</w:t>
      </w:r>
    </w:p>
    <w:p>
      <w:pPr>
        <w:spacing w:line="576" w:lineRule="exact"/>
        <w:ind w:firstLine="828" w:firstLineChars="262"/>
        <w:rPr>
          <w:rFonts w:ascii="仿宋_GB2312" w:eastAsia="仿宋_GB2312" w:cs="仿宋_GB2312"/>
          <w:color w:val="auto"/>
          <w:sz w:val="32"/>
          <w:szCs w:val="32"/>
        </w:rPr>
      </w:pPr>
      <w:r>
        <w:rPr>
          <w:rFonts w:hint="eastAsia" w:ascii="仿宋_GB2312" w:eastAsia="仿宋_GB2312" w:cs="仿宋_GB2312"/>
          <w:color w:val="auto"/>
          <w:sz w:val="32"/>
          <w:szCs w:val="32"/>
        </w:rPr>
        <w:t>http://jxj.cngy.gov.cn/new/show/20231120152352286.html</w:t>
      </w:r>
    </w:p>
    <w:p>
      <w:pPr>
        <w:spacing w:line="576" w:lineRule="exact"/>
        <w:ind w:left="630" w:firstLine="0"/>
        <w:rPr>
          <w:rFonts w:hint="eastAsia" w:ascii="仿宋_GB2312" w:eastAsia="仿宋_GB2312" w:cs="仿宋_GB2312"/>
          <w:color w:val="auto"/>
          <w:sz w:val="32"/>
          <w:szCs w:val="32"/>
        </w:rPr>
      </w:pPr>
      <w:r>
        <w:rPr>
          <w:rFonts w:hint="eastAsia" w:ascii="仿宋_GB2312" w:eastAsia="仿宋_GB2312" w:cs="仿宋_GB2312"/>
          <w:color w:val="auto"/>
          <w:sz w:val="32"/>
          <w:szCs w:val="32"/>
        </w:rPr>
        <w:t>（二）行政许可和行政处罚决定公示</w:t>
      </w:r>
    </w:p>
    <w:p>
      <w:pPr>
        <w:spacing w:line="576" w:lineRule="exact"/>
        <w:ind w:left="0" w:firstLine="632" w:firstLineChars="200"/>
        <w:rPr>
          <w:rStyle w:val="16"/>
          <w:rFonts w:hint="eastAsia" w:ascii="仿宋_GB2312" w:eastAsia="仿宋_GB2312" w:cs="仿宋_GB2312"/>
          <w:color w:val="auto"/>
          <w:sz w:val="32"/>
          <w:szCs w:val="32"/>
        </w:rPr>
      </w:pPr>
      <w:r>
        <w:rPr>
          <w:rStyle w:val="16"/>
          <w:rFonts w:hint="eastAsia" w:ascii="仿宋_GB2312" w:eastAsia="仿宋_GB2312" w:cs="仿宋_GB2312"/>
          <w:color w:val="auto"/>
          <w:sz w:val="32"/>
          <w:szCs w:val="32"/>
        </w:rPr>
        <w:fldChar w:fldCharType="begin"/>
      </w:r>
      <w:r>
        <w:rPr>
          <w:rStyle w:val="16"/>
          <w:rFonts w:hint="eastAsia" w:ascii="仿宋_GB2312" w:eastAsia="仿宋_GB2312" w:cs="仿宋_GB2312"/>
          <w:color w:val="auto"/>
          <w:sz w:val="32"/>
          <w:szCs w:val="32"/>
        </w:rPr>
        <w:instrText xml:space="preserve"> HYPERLINK "http://jxj.cngy.gov.cn/gongkai/list/20200511170640666.html" </w:instrText>
      </w:r>
      <w:r>
        <w:rPr>
          <w:rStyle w:val="16"/>
          <w:rFonts w:hint="eastAsia" w:ascii="仿宋_GB2312" w:eastAsia="仿宋_GB2312" w:cs="仿宋_GB2312"/>
          <w:color w:val="auto"/>
          <w:sz w:val="32"/>
          <w:szCs w:val="32"/>
        </w:rPr>
        <w:fldChar w:fldCharType="separate"/>
      </w:r>
      <w:r>
        <w:rPr>
          <w:rStyle w:val="16"/>
          <w:rFonts w:hint="eastAsia" w:ascii="仿宋_GB2312" w:eastAsia="仿宋_GB2312" w:cs="仿宋_GB2312"/>
          <w:color w:val="auto"/>
          <w:sz w:val="32"/>
          <w:szCs w:val="32"/>
        </w:rPr>
        <w:t>http://jxj.cngy.gov.cn/gongkai/list/20200511170640666.html</w:t>
      </w:r>
      <w:r>
        <w:rPr>
          <w:rStyle w:val="16"/>
          <w:rFonts w:hint="eastAsia" w:ascii="仿宋_GB2312" w:eastAsia="仿宋_GB2312" w:cs="仿宋_GB2312"/>
          <w:color w:val="auto"/>
          <w:sz w:val="32"/>
          <w:szCs w:val="32"/>
        </w:rPr>
        <w:fldChar w:fldCharType="end"/>
      </w:r>
    </w:p>
    <w:p>
      <w:pPr>
        <w:spacing w:line="576" w:lineRule="exact"/>
        <w:ind w:left="0" w:firstLine="632" w:firstLineChars="200"/>
        <w:rPr>
          <w:rFonts w:hint="eastAsia" w:ascii="仿宋_GB2312" w:eastAsia="仿宋_GB2312" w:cs="仿宋_GB2312"/>
          <w:color w:val="auto"/>
          <w:sz w:val="32"/>
          <w:szCs w:val="32"/>
        </w:rPr>
      </w:pPr>
      <w:r>
        <w:rPr>
          <w:rFonts w:hint="eastAsia" w:ascii="仿宋_GB2312" w:eastAsia="仿宋_GB2312" w:cs="仿宋_GB2312"/>
          <w:color w:val="auto"/>
          <w:sz w:val="32"/>
          <w:szCs w:val="32"/>
        </w:rPr>
        <w:t>（</w:t>
      </w:r>
      <w:r>
        <w:rPr>
          <w:rFonts w:hint="eastAsia" w:ascii="仿宋_GB2312" w:eastAsia="仿宋_GB2312" w:cs="仿宋_GB2312"/>
          <w:color w:val="auto"/>
          <w:sz w:val="32"/>
          <w:szCs w:val="32"/>
          <w:lang w:eastAsia="zh-CN"/>
        </w:rPr>
        <w:t>三</w:t>
      </w:r>
      <w:r>
        <w:rPr>
          <w:rFonts w:hint="eastAsia" w:ascii="仿宋_GB2312" w:eastAsia="仿宋_GB2312" w:cs="仿宋_GB2312"/>
          <w:color w:val="auto"/>
          <w:sz w:val="32"/>
          <w:szCs w:val="32"/>
        </w:rPr>
        <w:t>）上年度本机关行政执法数据总体情况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left="0" w:right="0" w:firstLine="632" w:firstLineChars="200"/>
        <w:jc w:val="both"/>
        <w:textAlignment w:val="auto"/>
        <w:rPr>
          <w:rFonts w:ascii="黑体" w:eastAsia="黑体" w:cs="黑体"/>
          <w:b w:val="0"/>
          <w:bCs w:val="0"/>
          <w:color w:val="auto"/>
          <w:spacing w:val="-6"/>
          <w:sz w:val="32"/>
          <w:szCs w:val="32"/>
          <w:lang w:val="en-US" w:eastAsia="zh-CN"/>
        </w:rPr>
      </w:pPr>
      <w:r>
        <w:rPr>
          <w:rFonts w:hint="eastAsia" w:ascii="仿宋_GB2312" w:eastAsia="仿宋_GB2312" w:cs="仿宋_GB2312"/>
          <w:color w:val="auto"/>
          <w:sz w:val="32"/>
          <w:szCs w:val="32"/>
        </w:rPr>
        <w:t>http://jxj.cngy.gov.cn/gongkai/show/20240109152251808.html</w:t>
      </w:r>
    </w:p>
    <w:p>
      <w:pPr>
        <w:keepNext w:val="0"/>
        <w:keepLines w:val="0"/>
        <w:pageBreakBefore w:val="0"/>
        <w:widowControl w:val="0"/>
        <w:kinsoku/>
        <w:wordWrap/>
        <w:overflowPunct/>
        <w:topLinePunct w:val="0"/>
        <w:autoSpaceDE/>
        <w:autoSpaceDN/>
        <w:bidi w:val="0"/>
        <w:adjustRightInd/>
        <w:snapToGrid/>
        <w:spacing w:line="576" w:lineRule="exact"/>
        <w:ind w:left="0" w:right="0" w:firstLine="608" w:firstLineChars="200"/>
        <w:jc w:val="both"/>
        <w:textAlignment w:val="auto"/>
        <w:rPr>
          <w:rFonts w:ascii="黑体" w:eastAsia="黑体" w:cs="黑体"/>
          <w:b w:val="0"/>
          <w:bCs w:val="0"/>
          <w:color w:val="auto"/>
          <w:spacing w:val="-6"/>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right="0" w:firstLine="608" w:firstLineChars="200"/>
        <w:jc w:val="both"/>
        <w:textAlignment w:val="auto"/>
        <w:rPr>
          <w:rFonts w:ascii="黑体" w:eastAsia="黑体" w:cs="黑体"/>
          <w:b w:val="0"/>
          <w:bCs w:val="0"/>
          <w:color w:val="auto"/>
          <w:spacing w:val="-6"/>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right="0" w:firstLine="608" w:firstLineChars="200"/>
        <w:jc w:val="both"/>
        <w:textAlignment w:val="auto"/>
        <w:rPr>
          <w:rFonts w:ascii="黑体" w:eastAsia="黑体" w:cs="黑体"/>
          <w:b w:val="0"/>
          <w:bCs w:val="0"/>
          <w:color w:val="auto"/>
          <w:spacing w:val="-6"/>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right="0" w:firstLine="608" w:firstLineChars="200"/>
        <w:jc w:val="both"/>
        <w:textAlignment w:val="auto"/>
        <w:rPr>
          <w:rFonts w:ascii="黑体" w:eastAsia="黑体" w:cs="黑体"/>
          <w:b w:val="0"/>
          <w:bCs w:val="0"/>
          <w:color w:val="auto"/>
          <w:spacing w:val="-6"/>
          <w:sz w:val="32"/>
          <w:szCs w:val="32"/>
          <w:lang w:val="en-US" w:eastAsia="zh-CN"/>
        </w:rPr>
        <w:sectPr>
          <w:pgSz w:w="11906" w:h="16838"/>
          <w:pgMar w:top="2098" w:right="1474" w:bottom="1531" w:left="1587" w:header="851" w:footer="1559" w:gutter="0"/>
          <w:pgNumType w:start="2"/>
          <w:cols w:space="720" w:num="1"/>
          <w:rtlGutter w:val="1"/>
          <w:docGrid w:type="linesAndChars" w:linePitch="579" w:charSpace="-842"/>
        </w:sectPr>
      </w:pPr>
    </w:p>
    <w:p>
      <w:pPr>
        <w:keepNext w:val="0"/>
        <w:keepLines w:val="0"/>
        <w:pageBreakBefore w:val="0"/>
        <w:widowControl w:val="0"/>
        <w:kinsoku/>
        <w:wordWrap/>
        <w:overflowPunct/>
        <w:topLinePunct w:val="0"/>
        <w:autoSpaceDE/>
        <w:autoSpaceDN/>
        <w:bidi w:val="0"/>
        <w:adjustRightInd/>
        <w:snapToGrid/>
        <w:spacing w:line="576" w:lineRule="exact"/>
        <w:ind w:left="0" w:right="0" w:firstLine="616" w:firstLineChars="200"/>
        <w:jc w:val="both"/>
        <w:textAlignment w:val="auto"/>
        <w:rPr>
          <w:rFonts w:hint="eastAsia" w:ascii="黑体" w:eastAsia="黑体" w:cs="黑体"/>
          <w:b w:val="0"/>
          <w:bCs w:val="0"/>
          <w:color w:val="auto"/>
          <w:spacing w:val="-6"/>
          <w:sz w:val="32"/>
          <w:szCs w:val="32"/>
          <w:lang w:val="en-US" w:eastAsia="zh-CN"/>
        </w:rPr>
      </w:pPr>
      <w:r>
        <w:rPr>
          <w:rFonts w:hint="eastAsia" w:ascii="黑体" w:eastAsia="黑体" w:cs="黑体"/>
          <w:b w:val="0"/>
          <w:bCs w:val="0"/>
          <w:color w:val="auto"/>
          <w:spacing w:val="-6"/>
          <w:sz w:val="32"/>
          <w:szCs w:val="32"/>
          <w:lang w:val="en-US" w:eastAsia="zh-CN"/>
        </w:rPr>
        <w:t>十、广元市</w:t>
      </w:r>
      <w:r>
        <w:rPr>
          <w:rFonts w:ascii="黑体" w:eastAsia="黑体" w:cs="黑体"/>
          <w:b w:val="0"/>
          <w:bCs w:val="0"/>
          <w:color w:val="auto"/>
          <w:spacing w:val="-6"/>
          <w:sz w:val="32"/>
          <w:szCs w:val="32"/>
          <w:lang w:val="en-US" w:eastAsia="zh-CN"/>
        </w:rPr>
        <w:t>经济和信息化</w:t>
      </w:r>
      <w:r>
        <w:rPr>
          <w:rFonts w:hint="eastAsia" w:ascii="黑体" w:eastAsia="黑体" w:cs="黑体"/>
          <w:b w:val="0"/>
          <w:bCs w:val="0"/>
          <w:color w:val="auto"/>
          <w:spacing w:val="-6"/>
          <w:sz w:val="32"/>
          <w:szCs w:val="32"/>
          <w:lang w:val="en-US" w:eastAsia="zh-CN"/>
        </w:rPr>
        <w:t>局分类检查事项目录</w:t>
      </w:r>
    </w:p>
    <w:p>
      <w:pPr>
        <w:spacing w:before="58"/>
        <w:rPr>
          <w:color w:val="auto"/>
        </w:rPr>
      </w:pPr>
    </w:p>
    <w:p>
      <w:pPr>
        <w:spacing w:before="57"/>
        <w:rPr>
          <w:color w:val="auto"/>
        </w:rPr>
      </w:pPr>
    </w:p>
    <w:tbl>
      <w:tblPr>
        <w:tblStyle w:val="24"/>
        <w:tblW w:w="138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4"/>
        <w:gridCol w:w="2358"/>
        <w:gridCol w:w="1449"/>
        <w:gridCol w:w="3178"/>
        <w:gridCol w:w="1778"/>
        <w:gridCol w:w="2428"/>
        <w:gridCol w:w="1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864" w:type="dxa"/>
            <w:vAlign w:val="top"/>
          </w:tcPr>
          <w:p>
            <w:pPr>
              <w:spacing w:before="211" w:line="221" w:lineRule="auto"/>
              <w:ind w:left="217"/>
              <w:rPr>
                <w:rFonts w:ascii="SimSun" w:hAnsi="SimSun" w:eastAsia="SimSun" w:cs="SimSun"/>
                <w:color w:val="auto"/>
                <w:sz w:val="21"/>
                <w:szCs w:val="21"/>
              </w:rPr>
            </w:pPr>
            <w:r>
              <w:rPr>
                <w:rFonts w:ascii="SimSun" w:hAnsi="SimSun" w:eastAsia="SimSun" w:cs="SimSun"/>
                <w:b/>
                <w:bCs/>
                <w:color w:val="auto"/>
                <w:spacing w:val="-5"/>
                <w:sz w:val="21"/>
                <w:szCs w:val="21"/>
              </w:rPr>
              <w:t>序号</w:t>
            </w:r>
          </w:p>
        </w:tc>
        <w:tc>
          <w:tcPr>
            <w:tcW w:w="2358" w:type="dxa"/>
            <w:vAlign w:val="top"/>
          </w:tcPr>
          <w:p>
            <w:pPr>
              <w:spacing w:before="210" w:line="219" w:lineRule="auto"/>
              <w:ind w:left="544"/>
              <w:rPr>
                <w:rFonts w:ascii="SimSun" w:hAnsi="SimSun" w:eastAsia="SimSun" w:cs="SimSun"/>
                <w:color w:val="auto"/>
                <w:sz w:val="21"/>
                <w:szCs w:val="21"/>
              </w:rPr>
            </w:pPr>
            <w:r>
              <w:rPr>
                <w:rFonts w:ascii="SimSun" w:hAnsi="SimSun" w:eastAsia="SimSun" w:cs="SimSun"/>
                <w:b/>
                <w:bCs/>
                <w:color w:val="auto"/>
                <w:spacing w:val="-4"/>
                <w:sz w:val="21"/>
                <w:szCs w:val="21"/>
              </w:rPr>
              <w:t>检查事项名称</w:t>
            </w:r>
          </w:p>
        </w:tc>
        <w:tc>
          <w:tcPr>
            <w:tcW w:w="4627" w:type="dxa"/>
            <w:gridSpan w:val="2"/>
            <w:vAlign w:val="top"/>
          </w:tcPr>
          <w:p>
            <w:pPr>
              <w:spacing w:before="210" w:line="219" w:lineRule="auto"/>
              <w:ind w:left="1586"/>
              <w:rPr>
                <w:rFonts w:ascii="SimSun" w:hAnsi="SimSun" w:eastAsia="SimSun" w:cs="SimSun"/>
                <w:color w:val="auto"/>
                <w:sz w:val="21"/>
                <w:szCs w:val="21"/>
              </w:rPr>
            </w:pPr>
            <w:r>
              <w:rPr>
                <w:rFonts w:ascii="SimSun" w:hAnsi="SimSun" w:eastAsia="SimSun" w:cs="SimSun"/>
                <w:b/>
                <w:bCs/>
                <w:color w:val="auto"/>
                <w:spacing w:val="-4"/>
                <w:sz w:val="21"/>
                <w:szCs w:val="21"/>
              </w:rPr>
              <w:t>检查事项划分</w:t>
            </w:r>
          </w:p>
        </w:tc>
        <w:tc>
          <w:tcPr>
            <w:tcW w:w="4206" w:type="dxa"/>
            <w:gridSpan w:val="2"/>
            <w:vAlign w:val="top"/>
          </w:tcPr>
          <w:p>
            <w:pPr>
              <w:spacing w:before="210" w:line="219" w:lineRule="auto"/>
              <w:ind w:left="1618"/>
              <w:rPr>
                <w:rFonts w:ascii="SimSun" w:hAnsi="SimSun" w:eastAsia="SimSun" w:cs="SimSun"/>
                <w:color w:val="auto"/>
                <w:sz w:val="21"/>
                <w:szCs w:val="21"/>
              </w:rPr>
            </w:pPr>
            <w:r>
              <w:rPr>
                <w:rFonts w:ascii="SimSun" w:hAnsi="SimSun" w:eastAsia="SimSun" w:cs="SimSun"/>
                <w:b/>
                <w:bCs/>
                <w:color w:val="auto"/>
                <w:spacing w:val="41"/>
                <w:sz w:val="21"/>
                <w:szCs w:val="21"/>
              </w:rPr>
              <w:t>对象划分</w:t>
            </w:r>
          </w:p>
        </w:tc>
        <w:tc>
          <w:tcPr>
            <w:tcW w:w="1754" w:type="dxa"/>
            <w:vAlign w:val="top"/>
          </w:tcPr>
          <w:p>
            <w:pPr>
              <w:spacing w:before="210" w:line="219" w:lineRule="auto"/>
              <w:ind w:left="452"/>
              <w:rPr>
                <w:rFonts w:ascii="SimSun" w:hAnsi="SimSun" w:eastAsia="SimSun" w:cs="SimSun"/>
                <w:color w:val="auto"/>
                <w:sz w:val="21"/>
                <w:szCs w:val="21"/>
              </w:rPr>
            </w:pPr>
            <w:r>
              <w:rPr>
                <w:rFonts w:ascii="SimSun" w:hAnsi="SimSun" w:eastAsia="SimSun" w:cs="SimSun"/>
                <w:b/>
                <w:bCs/>
                <w:color w:val="auto"/>
                <w:spacing w:val="-4"/>
                <w:sz w:val="21"/>
                <w:szCs w:val="21"/>
              </w:rPr>
              <w:t>监管方式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864" w:type="dxa"/>
            <w:vMerge w:val="restart"/>
            <w:tcBorders>
              <w:bottom w:val="nil"/>
            </w:tcBorders>
            <w:vAlign w:val="top"/>
          </w:tcPr>
          <w:p>
            <w:pPr>
              <w:pStyle w:val="25"/>
              <w:spacing w:line="254" w:lineRule="auto"/>
              <w:rPr>
                <w:color w:val="auto"/>
                <w:sz w:val="21"/>
                <w:szCs w:val="21"/>
              </w:rPr>
            </w:pPr>
          </w:p>
          <w:p>
            <w:pPr>
              <w:pStyle w:val="25"/>
              <w:spacing w:line="254" w:lineRule="auto"/>
              <w:rPr>
                <w:color w:val="auto"/>
                <w:sz w:val="21"/>
                <w:szCs w:val="21"/>
              </w:rPr>
            </w:pPr>
          </w:p>
          <w:p>
            <w:pPr>
              <w:pStyle w:val="25"/>
              <w:spacing w:line="255" w:lineRule="auto"/>
              <w:rPr>
                <w:color w:val="auto"/>
                <w:sz w:val="21"/>
                <w:szCs w:val="21"/>
              </w:rPr>
            </w:pPr>
          </w:p>
          <w:p>
            <w:pPr>
              <w:pStyle w:val="25"/>
              <w:spacing w:line="255" w:lineRule="auto"/>
              <w:rPr>
                <w:color w:val="auto"/>
                <w:sz w:val="21"/>
                <w:szCs w:val="21"/>
              </w:rPr>
            </w:pPr>
          </w:p>
          <w:p>
            <w:pPr>
              <w:pStyle w:val="25"/>
              <w:spacing w:line="255" w:lineRule="auto"/>
              <w:rPr>
                <w:color w:val="auto"/>
                <w:sz w:val="21"/>
                <w:szCs w:val="21"/>
              </w:rPr>
            </w:pPr>
          </w:p>
          <w:p>
            <w:pPr>
              <w:pStyle w:val="25"/>
              <w:spacing w:line="255" w:lineRule="auto"/>
              <w:rPr>
                <w:color w:val="auto"/>
                <w:sz w:val="21"/>
                <w:szCs w:val="21"/>
              </w:rPr>
            </w:pPr>
          </w:p>
          <w:p>
            <w:pPr>
              <w:pStyle w:val="25"/>
              <w:spacing w:line="255" w:lineRule="auto"/>
              <w:rPr>
                <w:color w:val="auto"/>
                <w:sz w:val="21"/>
                <w:szCs w:val="21"/>
              </w:rPr>
            </w:pPr>
          </w:p>
          <w:p>
            <w:pPr>
              <w:pStyle w:val="25"/>
              <w:spacing w:line="255" w:lineRule="auto"/>
              <w:rPr>
                <w:color w:val="auto"/>
                <w:sz w:val="21"/>
                <w:szCs w:val="21"/>
              </w:rPr>
            </w:pPr>
          </w:p>
          <w:p>
            <w:pPr>
              <w:pStyle w:val="25"/>
              <w:spacing w:line="255" w:lineRule="auto"/>
              <w:rPr>
                <w:color w:val="auto"/>
                <w:sz w:val="21"/>
                <w:szCs w:val="21"/>
              </w:rPr>
            </w:pPr>
          </w:p>
          <w:p>
            <w:pPr>
              <w:pStyle w:val="25"/>
              <w:spacing w:line="255" w:lineRule="auto"/>
              <w:rPr>
                <w:color w:val="auto"/>
                <w:sz w:val="21"/>
                <w:szCs w:val="21"/>
              </w:rPr>
            </w:pPr>
          </w:p>
          <w:p>
            <w:pPr>
              <w:spacing w:before="68" w:line="184" w:lineRule="auto"/>
              <w:ind w:left="364"/>
              <w:rPr>
                <w:rFonts w:ascii="SimSun" w:hAnsi="SimSun" w:eastAsia="SimSun" w:cs="SimSun"/>
                <w:color w:val="auto"/>
                <w:sz w:val="21"/>
                <w:szCs w:val="21"/>
              </w:rPr>
            </w:pPr>
            <w:r>
              <w:rPr>
                <w:rFonts w:ascii="SimSun" w:hAnsi="SimSun" w:eastAsia="SimSun" w:cs="SimSun"/>
                <w:color w:val="auto"/>
                <w:sz w:val="21"/>
                <w:szCs w:val="21"/>
              </w:rPr>
              <w:t>1</w:t>
            </w:r>
          </w:p>
        </w:tc>
        <w:tc>
          <w:tcPr>
            <w:tcW w:w="2358" w:type="dxa"/>
            <w:vMerge w:val="restart"/>
            <w:tcBorders>
              <w:bottom w:val="nil"/>
            </w:tcBorders>
            <w:vAlign w:val="top"/>
          </w:tcPr>
          <w:p>
            <w:pPr>
              <w:pStyle w:val="25"/>
              <w:spacing w:line="246" w:lineRule="auto"/>
              <w:rPr>
                <w:color w:val="auto"/>
                <w:sz w:val="21"/>
                <w:szCs w:val="21"/>
              </w:rPr>
            </w:pPr>
          </w:p>
          <w:p>
            <w:pPr>
              <w:pStyle w:val="25"/>
              <w:spacing w:line="246" w:lineRule="auto"/>
              <w:rPr>
                <w:color w:val="auto"/>
                <w:sz w:val="21"/>
                <w:szCs w:val="21"/>
              </w:rPr>
            </w:pPr>
          </w:p>
          <w:p>
            <w:pPr>
              <w:pStyle w:val="25"/>
              <w:spacing w:line="246" w:lineRule="auto"/>
              <w:rPr>
                <w:color w:val="auto"/>
                <w:sz w:val="21"/>
                <w:szCs w:val="21"/>
              </w:rPr>
            </w:pPr>
          </w:p>
          <w:p>
            <w:pPr>
              <w:pStyle w:val="25"/>
              <w:spacing w:line="246" w:lineRule="auto"/>
              <w:rPr>
                <w:color w:val="auto"/>
                <w:sz w:val="21"/>
                <w:szCs w:val="21"/>
              </w:rPr>
            </w:pPr>
          </w:p>
          <w:p>
            <w:pPr>
              <w:pStyle w:val="25"/>
              <w:spacing w:line="246" w:lineRule="auto"/>
              <w:rPr>
                <w:color w:val="auto"/>
                <w:sz w:val="21"/>
                <w:szCs w:val="21"/>
              </w:rPr>
            </w:pPr>
          </w:p>
          <w:p>
            <w:pPr>
              <w:pStyle w:val="25"/>
              <w:spacing w:line="246" w:lineRule="auto"/>
              <w:rPr>
                <w:color w:val="auto"/>
                <w:sz w:val="21"/>
                <w:szCs w:val="21"/>
              </w:rPr>
            </w:pPr>
          </w:p>
          <w:p>
            <w:pPr>
              <w:pStyle w:val="25"/>
              <w:spacing w:line="247" w:lineRule="auto"/>
              <w:rPr>
                <w:color w:val="auto"/>
                <w:sz w:val="21"/>
                <w:szCs w:val="21"/>
              </w:rPr>
            </w:pPr>
          </w:p>
          <w:p>
            <w:pPr>
              <w:pStyle w:val="25"/>
              <w:spacing w:line="247" w:lineRule="auto"/>
              <w:rPr>
                <w:color w:val="auto"/>
                <w:sz w:val="21"/>
                <w:szCs w:val="21"/>
              </w:rPr>
            </w:pPr>
          </w:p>
          <w:p>
            <w:pPr>
              <w:pStyle w:val="25"/>
              <w:spacing w:line="247" w:lineRule="auto"/>
              <w:rPr>
                <w:color w:val="auto"/>
                <w:sz w:val="21"/>
                <w:szCs w:val="21"/>
              </w:rPr>
            </w:pPr>
          </w:p>
          <w:p>
            <w:pPr>
              <w:spacing w:before="68" w:line="255" w:lineRule="auto"/>
              <w:ind w:left="121" w:right="134"/>
              <w:jc w:val="both"/>
              <w:rPr>
                <w:rFonts w:ascii="SimSun" w:hAnsi="SimSun" w:eastAsia="SimSun" w:cs="SimSun"/>
                <w:color w:val="auto"/>
                <w:sz w:val="21"/>
                <w:szCs w:val="21"/>
              </w:rPr>
            </w:pPr>
            <w:r>
              <w:rPr>
                <w:rFonts w:ascii="SimSun" w:hAnsi="SimSun" w:eastAsia="SimSun" w:cs="SimSun"/>
                <w:color w:val="auto"/>
                <w:spacing w:val="-1"/>
                <w:sz w:val="21"/>
                <w:szCs w:val="21"/>
              </w:rPr>
              <w:t>对生产、经营、使用监</w:t>
            </w:r>
            <w:r>
              <w:rPr>
                <w:rFonts w:ascii="SimSun" w:hAnsi="SimSun" w:eastAsia="SimSun" w:cs="SimSun"/>
                <w:color w:val="auto"/>
                <w:spacing w:val="1"/>
                <w:sz w:val="21"/>
                <w:szCs w:val="21"/>
              </w:rPr>
              <w:t xml:space="preserve"> </w:t>
            </w:r>
            <w:r>
              <w:rPr>
                <w:rFonts w:ascii="SimSun" w:hAnsi="SimSun" w:eastAsia="SimSun" w:cs="SimSun"/>
                <w:color w:val="auto"/>
                <w:spacing w:val="-1"/>
                <w:sz w:val="21"/>
                <w:szCs w:val="21"/>
              </w:rPr>
              <w:t>控化学品的法人或非法</w:t>
            </w:r>
            <w:r>
              <w:rPr>
                <w:rFonts w:ascii="SimSun" w:hAnsi="SimSun" w:eastAsia="SimSun" w:cs="SimSun"/>
                <w:color w:val="auto"/>
                <w:spacing w:val="1"/>
                <w:sz w:val="21"/>
                <w:szCs w:val="21"/>
              </w:rPr>
              <w:t xml:space="preserve"> </w:t>
            </w:r>
            <w:r>
              <w:rPr>
                <w:rFonts w:ascii="SimSun" w:hAnsi="SimSun" w:eastAsia="SimSun" w:cs="SimSun"/>
                <w:color w:val="auto"/>
                <w:spacing w:val="2"/>
                <w:sz w:val="21"/>
                <w:szCs w:val="21"/>
              </w:rPr>
              <w:t>人组织的行政检查</w:t>
            </w:r>
          </w:p>
        </w:tc>
        <w:tc>
          <w:tcPr>
            <w:tcW w:w="1449" w:type="dxa"/>
            <w:vMerge w:val="restart"/>
            <w:tcBorders>
              <w:bottom w:val="nil"/>
            </w:tcBorders>
            <w:vAlign w:val="top"/>
          </w:tcPr>
          <w:p>
            <w:pPr>
              <w:pStyle w:val="25"/>
              <w:spacing w:line="249" w:lineRule="auto"/>
              <w:rPr>
                <w:color w:val="auto"/>
                <w:sz w:val="21"/>
                <w:szCs w:val="21"/>
              </w:rPr>
            </w:pPr>
          </w:p>
          <w:p>
            <w:pPr>
              <w:pStyle w:val="25"/>
              <w:spacing w:line="249" w:lineRule="auto"/>
              <w:rPr>
                <w:color w:val="auto"/>
                <w:sz w:val="21"/>
                <w:szCs w:val="21"/>
              </w:rPr>
            </w:pPr>
          </w:p>
          <w:p>
            <w:pPr>
              <w:pStyle w:val="25"/>
              <w:spacing w:line="249" w:lineRule="auto"/>
              <w:rPr>
                <w:color w:val="auto"/>
                <w:sz w:val="21"/>
                <w:szCs w:val="21"/>
              </w:rPr>
            </w:pPr>
          </w:p>
          <w:p>
            <w:pPr>
              <w:pStyle w:val="25"/>
              <w:spacing w:line="249" w:lineRule="auto"/>
              <w:rPr>
                <w:color w:val="auto"/>
                <w:sz w:val="21"/>
                <w:szCs w:val="21"/>
              </w:rPr>
            </w:pPr>
          </w:p>
          <w:p>
            <w:pPr>
              <w:pStyle w:val="25"/>
              <w:spacing w:line="250" w:lineRule="auto"/>
              <w:rPr>
                <w:color w:val="auto"/>
                <w:sz w:val="21"/>
                <w:szCs w:val="21"/>
              </w:rPr>
            </w:pPr>
          </w:p>
          <w:p>
            <w:pPr>
              <w:pStyle w:val="25"/>
              <w:spacing w:line="250" w:lineRule="auto"/>
              <w:rPr>
                <w:color w:val="auto"/>
                <w:sz w:val="21"/>
                <w:szCs w:val="21"/>
              </w:rPr>
            </w:pPr>
          </w:p>
          <w:p>
            <w:pPr>
              <w:pStyle w:val="25"/>
              <w:spacing w:line="250" w:lineRule="auto"/>
              <w:rPr>
                <w:color w:val="auto"/>
                <w:sz w:val="21"/>
                <w:szCs w:val="21"/>
              </w:rPr>
            </w:pPr>
          </w:p>
          <w:p>
            <w:pPr>
              <w:pStyle w:val="25"/>
              <w:spacing w:line="250" w:lineRule="auto"/>
              <w:rPr>
                <w:color w:val="auto"/>
                <w:sz w:val="21"/>
                <w:szCs w:val="21"/>
              </w:rPr>
            </w:pPr>
          </w:p>
          <w:p>
            <w:pPr>
              <w:pStyle w:val="25"/>
              <w:spacing w:line="250" w:lineRule="auto"/>
              <w:rPr>
                <w:color w:val="auto"/>
                <w:sz w:val="21"/>
                <w:szCs w:val="21"/>
              </w:rPr>
            </w:pPr>
          </w:p>
          <w:p>
            <w:pPr>
              <w:pStyle w:val="25"/>
              <w:spacing w:line="250" w:lineRule="auto"/>
              <w:rPr>
                <w:color w:val="auto"/>
                <w:sz w:val="21"/>
                <w:szCs w:val="21"/>
              </w:rPr>
            </w:pPr>
          </w:p>
          <w:p>
            <w:pPr>
              <w:spacing w:before="68" w:line="219" w:lineRule="auto"/>
              <w:ind w:right="23"/>
              <w:jc w:val="right"/>
              <w:rPr>
                <w:rFonts w:ascii="SimSun" w:hAnsi="SimSun" w:eastAsia="SimSun" w:cs="SimSun"/>
                <w:color w:val="auto"/>
                <w:sz w:val="21"/>
                <w:szCs w:val="21"/>
              </w:rPr>
            </w:pPr>
            <w:r>
              <w:rPr>
                <w:rFonts w:ascii="SimSun" w:hAnsi="SimSun" w:eastAsia="SimSun" w:cs="SimSun"/>
                <w:color w:val="auto"/>
                <w:spacing w:val="2"/>
                <w:sz w:val="21"/>
                <w:szCs w:val="21"/>
              </w:rPr>
              <w:t>一般检查事项</w:t>
            </w:r>
          </w:p>
        </w:tc>
        <w:tc>
          <w:tcPr>
            <w:tcW w:w="3178" w:type="dxa"/>
            <w:vMerge w:val="restart"/>
            <w:tcBorders>
              <w:bottom w:val="nil"/>
            </w:tcBorders>
            <w:vAlign w:val="top"/>
          </w:tcPr>
          <w:p>
            <w:pPr>
              <w:pStyle w:val="25"/>
              <w:spacing w:line="320" w:lineRule="auto"/>
              <w:rPr>
                <w:color w:val="auto"/>
                <w:sz w:val="21"/>
                <w:szCs w:val="21"/>
              </w:rPr>
            </w:pPr>
          </w:p>
          <w:p>
            <w:pPr>
              <w:spacing w:before="68" w:line="250" w:lineRule="auto"/>
              <w:ind w:left="123" w:right="111"/>
              <w:rPr>
                <w:rFonts w:ascii="SimSun" w:hAnsi="SimSun" w:eastAsia="SimSun" w:cs="SimSun"/>
                <w:color w:val="auto"/>
                <w:sz w:val="21"/>
                <w:szCs w:val="21"/>
              </w:rPr>
            </w:pPr>
            <w:r>
              <w:rPr>
                <w:rFonts w:ascii="SimSun" w:hAnsi="SimSun" w:eastAsia="SimSun" w:cs="SimSun"/>
                <w:color w:val="auto"/>
                <w:spacing w:val="-1"/>
                <w:sz w:val="21"/>
                <w:szCs w:val="21"/>
              </w:rPr>
              <w:t>对新建、扩建或者改建监控化学</w:t>
            </w:r>
            <w:r>
              <w:rPr>
                <w:rFonts w:ascii="SimSun" w:hAnsi="SimSun" w:eastAsia="SimSun" w:cs="SimSun"/>
                <w:color w:val="auto"/>
                <w:spacing w:val="5"/>
                <w:sz w:val="21"/>
                <w:szCs w:val="21"/>
              </w:rPr>
              <w:t xml:space="preserve"> </w:t>
            </w:r>
            <w:r>
              <w:rPr>
                <w:rFonts w:ascii="SimSun" w:hAnsi="SimSun" w:eastAsia="SimSun" w:cs="SimSun"/>
                <w:color w:val="auto"/>
                <w:spacing w:val="1"/>
                <w:sz w:val="21"/>
                <w:szCs w:val="21"/>
              </w:rPr>
              <w:t>品生产设施的监管</w:t>
            </w:r>
          </w:p>
        </w:tc>
        <w:tc>
          <w:tcPr>
            <w:tcW w:w="1778" w:type="dxa"/>
            <w:vAlign w:val="top"/>
          </w:tcPr>
          <w:p>
            <w:pPr>
              <w:spacing w:before="229" w:line="219" w:lineRule="auto"/>
              <w:ind w:left="255"/>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28" w:type="dxa"/>
            <w:vAlign w:val="top"/>
          </w:tcPr>
          <w:p>
            <w:pPr>
              <w:spacing w:before="79" w:line="243" w:lineRule="auto"/>
              <w:ind w:left="157" w:right="41" w:hanging="100"/>
              <w:rPr>
                <w:rFonts w:ascii="SimSun" w:hAnsi="SimSun" w:eastAsia="SimSun" w:cs="SimSun"/>
                <w:color w:val="auto"/>
                <w:sz w:val="21"/>
                <w:szCs w:val="21"/>
              </w:rPr>
            </w:pPr>
            <w:r>
              <w:rPr>
                <w:rFonts w:ascii="SimSun" w:hAnsi="SimSun" w:eastAsia="SimSun" w:cs="SimSun"/>
                <w:color w:val="auto"/>
                <w:sz w:val="21"/>
                <w:szCs w:val="21"/>
              </w:rPr>
              <w:t>未被投诉、举报、行政处</w:t>
            </w:r>
            <w:r>
              <w:rPr>
                <w:rFonts w:ascii="SimSun" w:hAnsi="SimSun" w:eastAsia="SimSun" w:cs="SimSun"/>
                <w:color w:val="auto"/>
                <w:spacing w:val="8"/>
                <w:sz w:val="21"/>
                <w:szCs w:val="21"/>
              </w:rPr>
              <w:t xml:space="preserve"> </w:t>
            </w:r>
            <w:r>
              <w:rPr>
                <w:rFonts w:ascii="SimSun" w:hAnsi="SimSun" w:eastAsia="SimSun" w:cs="SimSun"/>
                <w:color w:val="auto"/>
                <w:spacing w:val="1"/>
                <w:sz w:val="21"/>
                <w:szCs w:val="21"/>
              </w:rPr>
              <w:t>罚的法人或非法人组织</w:t>
            </w:r>
          </w:p>
        </w:tc>
        <w:tc>
          <w:tcPr>
            <w:tcW w:w="1754" w:type="dxa"/>
            <w:vAlign w:val="top"/>
          </w:tcPr>
          <w:p>
            <w:pPr>
              <w:spacing w:before="228" w:line="219" w:lineRule="auto"/>
              <w:ind w:left="139"/>
              <w:rPr>
                <w:rFonts w:ascii="SimSun" w:hAnsi="SimSun" w:eastAsia="SimSun" w:cs="SimSun"/>
                <w:color w:val="auto"/>
                <w:sz w:val="21"/>
                <w:szCs w:val="21"/>
              </w:rPr>
            </w:pPr>
            <w:r>
              <w:rPr>
                <w:rFonts w:ascii="SimSun" w:hAnsi="SimSun" w:eastAsia="SimSun" w:cs="SimSun"/>
                <w:color w:val="auto"/>
                <w:spacing w:val="-2"/>
                <w:sz w:val="21"/>
                <w:szCs w:val="21"/>
              </w:rPr>
              <w:t>双随机、一公开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64" w:type="dxa"/>
            <w:vMerge w:val="continue"/>
            <w:tcBorders>
              <w:top w:val="nil"/>
              <w:bottom w:val="nil"/>
            </w:tcBorders>
            <w:vAlign w:val="top"/>
          </w:tcPr>
          <w:p>
            <w:pPr>
              <w:pStyle w:val="25"/>
              <w:rPr>
                <w:color w:val="auto"/>
                <w:sz w:val="21"/>
                <w:szCs w:val="21"/>
              </w:rPr>
            </w:pPr>
          </w:p>
        </w:tc>
        <w:tc>
          <w:tcPr>
            <w:tcW w:w="2358" w:type="dxa"/>
            <w:vMerge w:val="continue"/>
            <w:tcBorders>
              <w:top w:val="nil"/>
              <w:bottom w:val="nil"/>
            </w:tcBorders>
            <w:vAlign w:val="top"/>
          </w:tcPr>
          <w:p>
            <w:pPr>
              <w:pStyle w:val="25"/>
              <w:rPr>
                <w:color w:val="auto"/>
                <w:sz w:val="21"/>
                <w:szCs w:val="21"/>
              </w:rPr>
            </w:pPr>
          </w:p>
        </w:tc>
        <w:tc>
          <w:tcPr>
            <w:tcW w:w="1449" w:type="dxa"/>
            <w:vMerge w:val="continue"/>
            <w:tcBorders>
              <w:top w:val="nil"/>
              <w:bottom w:val="nil"/>
            </w:tcBorders>
            <w:vAlign w:val="top"/>
          </w:tcPr>
          <w:p>
            <w:pPr>
              <w:pStyle w:val="25"/>
              <w:rPr>
                <w:color w:val="auto"/>
                <w:sz w:val="21"/>
                <w:szCs w:val="21"/>
              </w:rPr>
            </w:pPr>
          </w:p>
        </w:tc>
        <w:tc>
          <w:tcPr>
            <w:tcW w:w="3178" w:type="dxa"/>
            <w:vMerge w:val="continue"/>
            <w:tcBorders>
              <w:top w:val="nil"/>
            </w:tcBorders>
            <w:vAlign w:val="top"/>
          </w:tcPr>
          <w:p>
            <w:pPr>
              <w:pStyle w:val="25"/>
              <w:rPr>
                <w:color w:val="auto"/>
                <w:sz w:val="21"/>
                <w:szCs w:val="21"/>
              </w:rPr>
            </w:pPr>
          </w:p>
        </w:tc>
        <w:tc>
          <w:tcPr>
            <w:tcW w:w="1778" w:type="dxa"/>
            <w:vAlign w:val="top"/>
          </w:tcPr>
          <w:p>
            <w:pPr>
              <w:spacing w:before="200" w:line="219" w:lineRule="auto"/>
              <w:ind w:left="255"/>
              <w:rPr>
                <w:rFonts w:ascii="SimSun" w:hAnsi="SimSun" w:eastAsia="SimSun" w:cs="SimSun"/>
                <w:color w:val="auto"/>
                <w:sz w:val="21"/>
                <w:szCs w:val="21"/>
              </w:rPr>
            </w:pPr>
            <w:r>
              <w:rPr>
                <w:rFonts w:ascii="SimSun" w:hAnsi="SimSun" w:eastAsia="SimSun" w:cs="SimSun"/>
                <w:color w:val="auto"/>
                <w:spacing w:val="-2"/>
                <w:sz w:val="21"/>
                <w:szCs w:val="21"/>
              </w:rPr>
              <w:t>重点检查对象</w:t>
            </w:r>
          </w:p>
        </w:tc>
        <w:tc>
          <w:tcPr>
            <w:tcW w:w="2428" w:type="dxa"/>
            <w:vAlign w:val="top"/>
          </w:tcPr>
          <w:p>
            <w:pPr>
              <w:spacing w:before="40" w:line="241" w:lineRule="auto"/>
              <w:ind w:left="127" w:right="24" w:hanging="70"/>
              <w:rPr>
                <w:rFonts w:ascii="SimSun" w:hAnsi="SimSun" w:eastAsia="SimSun" w:cs="SimSun"/>
                <w:color w:val="auto"/>
                <w:sz w:val="21"/>
                <w:szCs w:val="21"/>
              </w:rPr>
            </w:pPr>
            <w:r>
              <w:rPr>
                <w:rFonts w:ascii="SimSun" w:hAnsi="SimSun" w:eastAsia="SimSun" w:cs="SimSun"/>
                <w:color w:val="auto"/>
                <w:spacing w:val="2"/>
                <w:sz w:val="21"/>
                <w:szCs w:val="21"/>
              </w:rPr>
              <w:t xml:space="preserve">被投诉、举报、行政处罚 </w:t>
            </w:r>
            <w:r>
              <w:rPr>
                <w:rFonts w:ascii="SimSun" w:hAnsi="SimSun" w:eastAsia="SimSun" w:cs="SimSun"/>
                <w:color w:val="auto"/>
                <w:spacing w:val="1"/>
                <w:sz w:val="21"/>
                <w:szCs w:val="21"/>
              </w:rPr>
              <w:t>的法人或非法人组织</w:t>
            </w:r>
          </w:p>
        </w:tc>
        <w:tc>
          <w:tcPr>
            <w:tcW w:w="1754" w:type="dxa"/>
            <w:vAlign w:val="top"/>
          </w:tcPr>
          <w:p>
            <w:pPr>
              <w:spacing w:before="200" w:line="219" w:lineRule="auto"/>
              <w:ind w:left="8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64" w:type="dxa"/>
            <w:vMerge w:val="continue"/>
            <w:tcBorders>
              <w:top w:val="nil"/>
              <w:bottom w:val="nil"/>
            </w:tcBorders>
            <w:vAlign w:val="top"/>
          </w:tcPr>
          <w:p>
            <w:pPr>
              <w:pStyle w:val="25"/>
              <w:rPr>
                <w:color w:val="auto"/>
                <w:sz w:val="21"/>
                <w:szCs w:val="21"/>
              </w:rPr>
            </w:pPr>
          </w:p>
        </w:tc>
        <w:tc>
          <w:tcPr>
            <w:tcW w:w="2358" w:type="dxa"/>
            <w:vMerge w:val="continue"/>
            <w:tcBorders>
              <w:top w:val="nil"/>
              <w:bottom w:val="nil"/>
            </w:tcBorders>
            <w:vAlign w:val="top"/>
          </w:tcPr>
          <w:p>
            <w:pPr>
              <w:pStyle w:val="25"/>
              <w:rPr>
                <w:color w:val="auto"/>
                <w:sz w:val="21"/>
                <w:szCs w:val="21"/>
              </w:rPr>
            </w:pPr>
          </w:p>
        </w:tc>
        <w:tc>
          <w:tcPr>
            <w:tcW w:w="1449" w:type="dxa"/>
            <w:vMerge w:val="continue"/>
            <w:tcBorders>
              <w:top w:val="nil"/>
              <w:bottom w:val="nil"/>
            </w:tcBorders>
            <w:vAlign w:val="top"/>
          </w:tcPr>
          <w:p>
            <w:pPr>
              <w:pStyle w:val="25"/>
              <w:rPr>
                <w:color w:val="auto"/>
                <w:sz w:val="21"/>
                <w:szCs w:val="21"/>
              </w:rPr>
            </w:pPr>
          </w:p>
        </w:tc>
        <w:tc>
          <w:tcPr>
            <w:tcW w:w="3178" w:type="dxa"/>
            <w:vMerge w:val="restart"/>
            <w:tcBorders>
              <w:bottom w:val="nil"/>
            </w:tcBorders>
            <w:vAlign w:val="top"/>
          </w:tcPr>
          <w:p>
            <w:pPr>
              <w:pStyle w:val="25"/>
              <w:spacing w:line="450" w:lineRule="auto"/>
              <w:rPr>
                <w:color w:val="auto"/>
                <w:sz w:val="21"/>
                <w:szCs w:val="21"/>
              </w:rPr>
            </w:pPr>
          </w:p>
          <w:p>
            <w:pPr>
              <w:spacing w:before="68" w:line="219" w:lineRule="auto"/>
              <w:ind w:left="123"/>
              <w:rPr>
                <w:rFonts w:ascii="SimSun" w:hAnsi="SimSun" w:eastAsia="SimSun" w:cs="SimSun"/>
                <w:color w:val="auto"/>
                <w:sz w:val="21"/>
                <w:szCs w:val="21"/>
              </w:rPr>
            </w:pPr>
            <w:r>
              <w:rPr>
                <w:rFonts w:ascii="SimSun" w:hAnsi="SimSun" w:eastAsia="SimSun" w:cs="SimSun"/>
                <w:color w:val="auto"/>
                <w:spacing w:val="-1"/>
                <w:sz w:val="21"/>
                <w:szCs w:val="21"/>
              </w:rPr>
              <w:t>对监控化学品生产的监管</w:t>
            </w:r>
          </w:p>
        </w:tc>
        <w:tc>
          <w:tcPr>
            <w:tcW w:w="1778" w:type="dxa"/>
            <w:vAlign w:val="top"/>
          </w:tcPr>
          <w:p>
            <w:pPr>
              <w:spacing w:before="201" w:line="219" w:lineRule="auto"/>
              <w:ind w:left="255"/>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28" w:type="dxa"/>
            <w:vAlign w:val="top"/>
          </w:tcPr>
          <w:p>
            <w:pPr>
              <w:spacing w:before="40" w:line="241" w:lineRule="auto"/>
              <w:ind w:left="157" w:right="41" w:hanging="100"/>
              <w:rPr>
                <w:rFonts w:ascii="SimSun" w:hAnsi="SimSun" w:eastAsia="SimSun" w:cs="SimSun"/>
                <w:color w:val="auto"/>
                <w:sz w:val="21"/>
                <w:szCs w:val="21"/>
              </w:rPr>
            </w:pPr>
            <w:r>
              <w:rPr>
                <w:rFonts w:ascii="SimSun" w:hAnsi="SimSun" w:eastAsia="SimSun" w:cs="SimSun"/>
                <w:color w:val="auto"/>
                <w:sz w:val="21"/>
                <w:szCs w:val="21"/>
              </w:rPr>
              <w:t>未被投诉、举报、行政处</w:t>
            </w:r>
            <w:r>
              <w:rPr>
                <w:rFonts w:ascii="SimSun" w:hAnsi="SimSun" w:eastAsia="SimSun" w:cs="SimSun"/>
                <w:color w:val="auto"/>
                <w:spacing w:val="8"/>
                <w:sz w:val="21"/>
                <w:szCs w:val="21"/>
              </w:rPr>
              <w:t xml:space="preserve"> </w:t>
            </w:r>
            <w:r>
              <w:rPr>
                <w:rFonts w:ascii="SimSun" w:hAnsi="SimSun" w:eastAsia="SimSun" w:cs="SimSun"/>
                <w:color w:val="auto"/>
                <w:spacing w:val="1"/>
                <w:sz w:val="21"/>
                <w:szCs w:val="21"/>
              </w:rPr>
              <w:t>罚的法人或非法人组织</w:t>
            </w:r>
          </w:p>
        </w:tc>
        <w:tc>
          <w:tcPr>
            <w:tcW w:w="1754" w:type="dxa"/>
            <w:vAlign w:val="top"/>
          </w:tcPr>
          <w:p>
            <w:pPr>
              <w:spacing w:before="200" w:line="219" w:lineRule="auto"/>
              <w:ind w:left="139"/>
              <w:rPr>
                <w:rFonts w:ascii="SimSun" w:hAnsi="SimSun" w:eastAsia="SimSun" w:cs="SimSun"/>
                <w:color w:val="auto"/>
                <w:sz w:val="21"/>
                <w:szCs w:val="21"/>
              </w:rPr>
            </w:pPr>
            <w:r>
              <w:rPr>
                <w:rFonts w:ascii="SimSun" w:hAnsi="SimSun" w:eastAsia="SimSun" w:cs="SimSun"/>
                <w:color w:val="auto"/>
                <w:spacing w:val="-2"/>
                <w:sz w:val="21"/>
                <w:szCs w:val="21"/>
              </w:rPr>
              <w:t>双随机、一公开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864" w:type="dxa"/>
            <w:vMerge w:val="continue"/>
            <w:tcBorders>
              <w:top w:val="nil"/>
              <w:bottom w:val="nil"/>
            </w:tcBorders>
            <w:vAlign w:val="top"/>
          </w:tcPr>
          <w:p>
            <w:pPr>
              <w:pStyle w:val="25"/>
              <w:rPr>
                <w:color w:val="auto"/>
                <w:sz w:val="21"/>
                <w:szCs w:val="21"/>
              </w:rPr>
            </w:pPr>
          </w:p>
        </w:tc>
        <w:tc>
          <w:tcPr>
            <w:tcW w:w="2358" w:type="dxa"/>
            <w:vMerge w:val="continue"/>
            <w:tcBorders>
              <w:top w:val="nil"/>
              <w:bottom w:val="nil"/>
            </w:tcBorders>
            <w:vAlign w:val="top"/>
          </w:tcPr>
          <w:p>
            <w:pPr>
              <w:pStyle w:val="25"/>
              <w:rPr>
                <w:color w:val="auto"/>
                <w:sz w:val="21"/>
                <w:szCs w:val="21"/>
              </w:rPr>
            </w:pPr>
          </w:p>
        </w:tc>
        <w:tc>
          <w:tcPr>
            <w:tcW w:w="1449" w:type="dxa"/>
            <w:vMerge w:val="continue"/>
            <w:tcBorders>
              <w:top w:val="nil"/>
              <w:bottom w:val="nil"/>
            </w:tcBorders>
            <w:vAlign w:val="top"/>
          </w:tcPr>
          <w:p>
            <w:pPr>
              <w:pStyle w:val="25"/>
              <w:rPr>
                <w:color w:val="auto"/>
                <w:sz w:val="21"/>
                <w:szCs w:val="21"/>
              </w:rPr>
            </w:pPr>
          </w:p>
        </w:tc>
        <w:tc>
          <w:tcPr>
            <w:tcW w:w="3178" w:type="dxa"/>
            <w:vMerge w:val="continue"/>
            <w:tcBorders>
              <w:top w:val="nil"/>
            </w:tcBorders>
            <w:vAlign w:val="top"/>
          </w:tcPr>
          <w:p>
            <w:pPr>
              <w:pStyle w:val="25"/>
              <w:rPr>
                <w:color w:val="auto"/>
                <w:sz w:val="21"/>
                <w:szCs w:val="21"/>
              </w:rPr>
            </w:pPr>
          </w:p>
        </w:tc>
        <w:tc>
          <w:tcPr>
            <w:tcW w:w="1778" w:type="dxa"/>
            <w:vAlign w:val="top"/>
          </w:tcPr>
          <w:p>
            <w:pPr>
              <w:spacing w:before="212" w:line="219" w:lineRule="auto"/>
              <w:ind w:left="255"/>
              <w:rPr>
                <w:rFonts w:ascii="SimSun" w:hAnsi="SimSun" w:eastAsia="SimSun" w:cs="SimSun"/>
                <w:color w:val="auto"/>
                <w:sz w:val="21"/>
                <w:szCs w:val="21"/>
              </w:rPr>
            </w:pPr>
            <w:r>
              <w:rPr>
                <w:rFonts w:ascii="SimSun" w:hAnsi="SimSun" w:eastAsia="SimSun" w:cs="SimSun"/>
                <w:color w:val="auto"/>
                <w:spacing w:val="-2"/>
                <w:sz w:val="21"/>
                <w:szCs w:val="21"/>
              </w:rPr>
              <w:t>重点检查对象</w:t>
            </w:r>
          </w:p>
        </w:tc>
        <w:tc>
          <w:tcPr>
            <w:tcW w:w="2428" w:type="dxa"/>
            <w:vAlign w:val="top"/>
          </w:tcPr>
          <w:p>
            <w:pPr>
              <w:spacing w:before="61" w:line="245" w:lineRule="auto"/>
              <w:ind w:left="127" w:right="24" w:hanging="70"/>
              <w:rPr>
                <w:rFonts w:ascii="SimSun" w:hAnsi="SimSun" w:eastAsia="SimSun" w:cs="SimSun"/>
                <w:color w:val="auto"/>
                <w:sz w:val="21"/>
                <w:szCs w:val="21"/>
              </w:rPr>
            </w:pPr>
            <w:r>
              <w:rPr>
                <w:rFonts w:ascii="SimSun" w:hAnsi="SimSun" w:eastAsia="SimSun" w:cs="SimSun"/>
                <w:color w:val="auto"/>
                <w:spacing w:val="2"/>
                <w:sz w:val="21"/>
                <w:szCs w:val="21"/>
              </w:rPr>
              <w:t xml:space="preserve">被投诉、举报、行政处罚 </w:t>
            </w:r>
            <w:r>
              <w:rPr>
                <w:rFonts w:ascii="SimSun" w:hAnsi="SimSun" w:eastAsia="SimSun" w:cs="SimSun"/>
                <w:color w:val="auto"/>
                <w:spacing w:val="1"/>
                <w:sz w:val="21"/>
                <w:szCs w:val="21"/>
              </w:rPr>
              <w:t>的法人或非法人组织</w:t>
            </w:r>
          </w:p>
        </w:tc>
        <w:tc>
          <w:tcPr>
            <w:tcW w:w="1754" w:type="dxa"/>
            <w:vAlign w:val="top"/>
          </w:tcPr>
          <w:p>
            <w:pPr>
              <w:spacing w:before="212" w:line="219" w:lineRule="auto"/>
              <w:ind w:left="8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64" w:type="dxa"/>
            <w:vMerge w:val="continue"/>
            <w:tcBorders>
              <w:top w:val="nil"/>
              <w:bottom w:val="nil"/>
            </w:tcBorders>
            <w:vAlign w:val="top"/>
          </w:tcPr>
          <w:p>
            <w:pPr>
              <w:pStyle w:val="25"/>
              <w:rPr>
                <w:color w:val="auto"/>
                <w:sz w:val="21"/>
                <w:szCs w:val="21"/>
              </w:rPr>
            </w:pPr>
          </w:p>
        </w:tc>
        <w:tc>
          <w:tcPr>
            <w:tcW w:w="2358" w:type="dxa"/>
            <w:vMerge w:val="continue"/>
            <w:tcBorders>
              <w:top w:val="nil"/>
              <w:bottom w:val="nil"/>
            </w:tcBorders>
            <w:vAlign w:val="top"/>
          </w:tcPr>
          <w:p>
            <w:pPr>
              <w:pStyle w:val="25"/>
              <w:rPr>
                <w:color w:val="auto"/>
                <w:sz w:val="21"/>
                <w:szCs w:val="21"/>
              </w:rPr>
            </w:pPr>
          </w:p>
        </w:tc>
        <w:tc>
          <w:tcPr>
            <w:tcW w:w="1449" w:type="dxa"/>
            <w:vMerge w:val="continue"/>
            <w:tcBorders>
              <w:top w:val="nil"/>
              <w:bottom w:val="nil"/>
            </w:tcBorders>
            <w:vAlign w:val="top"/>
          </w:tcPr>
          <w:p>
            <w:pPr>
              <w:pStyle w:val="25"/>
              <w:rPr>
                <w:color w:val="auto"/>
                <w:sz w:val="21"/>
                <w:szCs w:val="21"/>
              </w:rPr>
            </w:pPr>
          </w:p>
        </w:tc>
        <w:tc>
          <w:tcPr>
            <w:tcW w:w="3178" w:type="dxa"/>
            <w:vMerge w:val="restart"/>
            <w:tcBorders>
              <w:bottom w:val="nil"/>
            </w:tcBorders>
            <w:vAlign w:val="top"/>
          </w:tcPr>
          <w:p>
            <w:pPr>
              <w:pStyle w:val="25"/>
              <w:spacing w:line="281" w:lineRule="auto"/>
              <w:rPr>
                <w:color w:val="auto"/>
                <w:sz w:val="21"/>
                <w:szCs w:val="21"/>
              </w:rPr>
            </w:pPr>
          </w:p>
          <w:p>
            <w:pPr>
              <w:pStyle w:val="25"/>
              <w:spacing w:line="281" w:lineRule="auto"/>
              <w:rPr>
                <w:color w:val="auto"/>
                <w:sz w:val="21"/>
                <w:szCs w:val="21"/>
              </w:rPr>
            </w:pPr>
          </w:p>
          <w:p>
            <w:pPr>
              <w:spacing w:before="68" w:line="219" w:lineRule="auto"/>
              <w:ind w:left="123"/>
              <w:rPr>
                <w:rFonts w:ascii="SimSun" w:hAnsi="SimSun" w:eastAsia="SimSun" w:cs="SimSun"/>
                <w:color w:val="auto"/>
                <w:sz w:val="21"/>
                <w:szCs w:val="21"/>
              </w:rPr>
            </w:pPr>
            <w:r>
              <w:rPr>
                <w:rFonts w:ascii="SimSun" w:hAnsi="SimSun" w:eastAsia="SimSun" w:cs="SimSun"/>
                <w:color w:val="auto"/>
                <w:spacing w:val="-1"/>
                <w:sz w:val="21"/>
                <w:szCs w:val="21"/>
              </w:rPr>
              <w:t>对使用第二类监控化学品的监管</w:t>
            </w:r>
          </w:p>
        </w:tc>
        <w:tc>
          <w:tcPr>
            <w:tcW w:w="1778" w:type="dxa"/>
            <w:vAlign w:val="top"/>
          </w:tcPr>
          <w:p>
            <w:pPr>
              <w:spacing w:before="203" w:line="219" w:lineRule="auto"/>
              <w:ind w:left="255"/>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28" w:type="dxa"/>
            <w:vAlign w:val="top"/>
          </w:tcPr>
          <w:p>
            <w:pPr>
              <w:spacing w:before="41" w:line="235" w:lineRule="auto"/>
              <w:ind w:left="157" w:right="41" w:hanging="100"/>
              <w:rPr>
                <w:rFonts w:ascii="SimSun" w:hAnsi="SimSun" w:eastAsia="SimSun" w:cs="SimSun"/>
                <w:color w:val="auto"/>
                <w:sz w:val="21"/>
                <w:szCs w:val="21"/>
              </w:rPr>
            </w:pPr>
            <w:r>
              <w:rPr>
                <w:rFonts w:ascii="SimSun" w:hAnsi="SimSun" w:eastAsia="SimSun" w:cs="SimSun"/>
                <w:color w:val="auto"/>
                <w:sz w:val="21"/>
                <w:szCs w:val="21"/>
              </w:rPr>
              <w:t>未被投诉、举报、行政处</w:t>
            </w:r>
            <w:r>
              <w:rPr>
                <w:rFonts w:ascii="SimSun" w:hAnsi="SimSun" w:eastAsia="SimSun" w:cs="SimSun"/>
                <w:color w:val="auto"/>
                <w:spacing w:val="8"/>
                <w:sz w:val="21"/>
                <w:szCs w:val="21"/>
              </w:rPr>
              <w:t xml:space="preserve"> </w:t>
            </w:r>
            <w:r>
              <w:rPr>
                <w:rFonts w:ascii="SimSun" w:hAnsi="SimSun" w:eastAsia="SimSun" w:cs="SimSun"/>
                <w:color w:val="auto"/>
                <w:spacing w:val="1"/>
                <w:sz w:val="21"/>
                <w:szCs w:val="21"/>
              </w:rPr>
              <w:t>罚的法人或非法人组织</w:t>
            </w:r>
          </w:p>
        </w:tc>
        <w:tc>
          <w:tcPr>
            <w:tcW w:w="1754" w:type="dxa"/>
            <w:vAlign w:val="top"/>
          </w:tcPr>
          <w:p>
            <w:pPr>
              <w:spacing w:before="202" w:line="219" w:lineRule="auto"/>
              <w:ind w:left="139"/>
              <w:rPr>
                <w:rFonts w:ascii="SimSun" w:hAnsi="SimSun" w:eastAsia="SimSun" w:cs="SimSun"/>
                <w:color w:val="auto"/>
                <w:sz w:val="21"/>
                <w:szCs w:val="21"/>
              </w:rPr>
            </w:pPr>
            <w:r>
              <w:rPr>
                <w:rFonts w:ascii="SimSun" w:hAnsi="SimSun" w:eastAsia="SimSun" w:cs="SimSun"/>
                <w:color w:val="auto"/>
                <w:spacing w:val="-2"/>
                <w:sz w:val="21"/>
                <w:szCs w:val="21"/>
              </w:rPr>
              <w:t>双随机、一公开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864" w:type="dxa"/>
            <w:vMerge w:val="continue"/>
            <w:tcBorders>
              <w:top w:val="nil"/>
              <w:bottom w:val="nil"/>
            </w:tcBorders>
            <w:vAlign w:val="top"/>
          </w:tcPr>
          <w:p>
            <w:pPr>
              <w:pStyle w:val="25"/>
              <w:rPr>
                <w:color w:val="auto"/>
                <w:sz w:val="21"/>
                <w:szCs w:val="21"/>
              </w:rPr>
            </w:pPr>
          </w:p>
        </w:tc>
        <w:tc>
          <w:tcPr>
            <w:tcW w:w="2358" w:type="dxa"/>
            <w:vMerge w:val="continue"/>
            <w:tcBorders>
              <w:top w:val="nil"/>
              <w:bottom w:val="nil"/>
            </w:tcBorders>
            <w:vAlign w:val="top"/>
          </w:tcPr>
          <w:p>
            <w:pPr>
              <w:pStyle w:val="25"/>
              <w:rPr>
                <w:color w:val="auto"/>
                <w:sz w:val="21"/>
                <w:szCs w:val="21"/>
              </w:rPr>
            </w:pPr>
          </w:p>
        </w:tc>
        <w:tc>
          <w:tcPr>
            <w:tcW w:w="1449" w:type="dxa"/>
            <w:vMerge w:val="continue"/>
            <w:tcBorders>
              <w:top w:val="nil"/>
              <w:bottom w:val="nil"/>
            </w:tcBorders>
            <w:vAlign w:val="top"/>
          </w:tcPr>
          <w:p>
            <w:pPr>
              <w:pStyle w:val="25"/>
              <w:rPr>
                <w:color w:val="auto"/>
                <w:sz w:val="21"/>
                <w:szCs w:val="21"/>
              </w:rPr>
            </w:pPr>
          </w:p>
        </w:tc>
        <w:tc>
          <w:tcPr>
            <w:tcW w:w="3178" w:type="dxa"/>
            <w:vMerge w:val="continue"/>
            <w:tcBorders>
              <w:top w:val="nil"/>
            </w:tcBorders>
            <w:vAlign w:val="top"/>
          </w:tcPr>
          <w:p>
            <w:pPr>
              <w:pStyle w:val="25"/>
              <w:rPr>
                <w:color w:val="auto"/>
                <w:sz w:val="21"/>
                <w:szCs w:val="21"/>
              </w:rPr>
            </w:pPr>
          </w:p>
        </w:tc>
        <w:tc>
          <w:tcPr>
            <w:tcW w:w="1778" w:type="dxa"/>
            <w:vAlign w:val="top"/>
          </w:tcPr>
          <w:p>
            <w:pPr>
              <w:pStyle w:val="25"/>
              <w:spacing w:line="264" w:lineRule="auto"/>
              <w:rPr>
                <w:color w:val="auto"/>
                <w:sz w:val="21"/>
                <w:szCs w:val="21"/>
              </w:rPr>
            </w:pPr>
          </w:p>
          <w:p>
            <w:pPr>
              <w:spacing w:before="69" w:line="219" w:lineRule="auto"/>
              <w:ind w:left="255"/>
              <w:rPr>
                <w:rFonts w:ascii="SimSun" w:hAnsi="SimSun" w:eastAsia="SimSun" w:cs="SimSun"/>
                <w:color w:val="auto"/>
                <w:sz w:val="21"/>
                <w:szCs w:val="21"/>
              </w:rPr>
            </w:pPr>
            <w:r>
              <w:rPr>
                <w:rFonts w:ascii="SimSun" w:hAnsi="SimSun" w:eastAsia="SimSun" w:cs="SimSun"/>
                <w:color w:val="auto"/>
                <w:spacing w:val="-2"/>
                <w:sz w:val="21"/>
                <w:szCs w:val="21"/>
              </w:rPr>
              <w:t>重点检查对象</w:t>
            </w:r>
          </w:p>
        </w:tc>
        <w:tc>
          <w:tcPr>
            <w:tcW w:w="2428" w:type="dxa"/>
            <w:vAlign w:val="top"/>
          </w:tcPr>
          <w:p>
            <w:pPr>
              <w:spacing w:before="173" w:line="261" w:lineRule="auto"/>
              <w:ind w:left="127" w:right="24" w:hanging="70"/>
              <w:rPr>
                <w:rFonts w:ascii="SimSun" w:hAnsi="SimSun" w:eastAsia="SimSun" w:cs="SimSun"/>
                <w:color w:val="auto"/>
                <w:sz w:val="21"/>
                <w:szCs w:val="21"/>
              </w:rPr>
            </w:pPr>
            <w:r>
              <w:rPr>
                <w:rFonts w:ascii="SimSun" w:hAnsi="SimSun" w:eastAsia="SimSun" w:cs="SimSun"/>
                <w:color w:val="auto"/>
                <w:spacing w:val="2"/>
                <w:sz w:val="21"/>
                <w:szCs w:val="21"/>
              </w:rPr>
              <w:t xml:space="preserve">被投诉、举报、行政处罚 </w:t>
            </w:r>
            <w:r>
              <w:rPr>
                <w:rFonts w:ascii="SimSun" w:hAnsi="SimSun" w:eastAsia="SimSun" w:cs="SimSun"/>
                <w:color w:val="auto"/>
                <w:spacing w:val="1"/>
                <w:sz w:val="21"/>
                <w:szCs w:val="21"/>
              </w:rPr>
              <w:t>的法人或非法人组织</w:t>
            </w:r>
          </w:p>
        </w:tc>
        <w:tc>
          <w:tcPr>
            <w:tcW w:w="1754" w:type="dxa"/>
            <w:vAlign w:val="top"/>
          </w:tcPr>
          <w:p>
            <w:pPr>
              <w:pStyle w:val="25"/>
              <w:spacing w:line="264" w:lineRule="auto"/>
              <w:rPr>
                <w:color w:val="auto"/>
                <w:sz w:val="21"/>
                <w:szCs w:val="21"/>
              </w:rPr>
            </w:pPr>
          </w:p>
          <w:p>
            <w:pPr>
              <w:spacing w:before="69" w:line="219" w:lineRule="auto"/>
              <w:ind w:left="9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864" w:type="dxa"/>
            <w:vMerge w:val="continue"/>
            <w:tcBorders>
              <w:top w:val="nil"/>
              <w:bottom w:val="nil"/>
            </w:tcBorders>
            <w:vAlign w:val="top"/>
          </w:tcPr>
          <w:p>
            <w:pPr>
              <w:pStyle w:val="25"/>
              <w:rPr>
                <w:color w:val="auto"/>
                <w:sz w:val="21"/>
                <w:szCs w:val="21"/>
              </w:rPr>
            </w:pPr>
          </w:p>
        </w:tc>
        <w:tc>
          <w:tcPr>
            <w:tcW w:w="2358" w:type="dxa"/>
            <w:vMerge w:val="continue"/>
            <w:tcBorders>
              <w:top w:val="nil"/>
              <w:bottom w:val="nil"/>
            </w:tcBorders>
            <w:vAlign w:val="top"/>
          </w:tcPr>
          <w:p>
            <w:pPr>
              <w:pStyle w:val="25"/>
              <w:rPr>
                <w:color w:val="auto"/>
                <w:sz w:val="21"/>
                <w:szCs w:val="21"/>
              </w:rPr>
            </w:pPr>
          </w:p>
        </w:tc>
        <w:tc>
          <w:tcPr>
            <w:tcW w:w="1449" w:type="dxa"/>
            <w:vMerge w:val="continue"/>
            <w:tcBorders>
              <w:top w:val="nil"/>
              <w:bottom w:val="nil"/>
            </w:tcBorders>
            <w:vAlign w:val="top"/>
          </w:tcPr>
          <w:p>
            <w:pPr>
              <w:pStyle w:val="25"/>
              <w:rPr>
                <w:color w:val="auto"/>
                <w:sz w:val="21"/>
                <w:szCs w:val="21"/>
              </w:rPr>
            </w:pPr>
          </w:p>
        </w:tc>
        <w:tc>
          <w:tcPr>
            <w:tcW w:w="3178" w:type="dxa"/>
            <w:vMerge w:val="restart"/>
            <w:tcBorders>
              <w:bottom w:val="nil"/>
            </w:tcBorders>
            <w:vAlign w:val="top"/>
          </w:tcPr>
          <w:p>
            <w:pPr>
              <w:pStyle w:val="25"/>
              <w:spacing w:line="252" w:lineRule="auto"/>
              <w:rPr>
                <w:color w:val="auto"/>
                <w:sz w:val="21"/>
                <w:szCs w:val="21"/>
              </w:rPr>
            </w:pPr>
          </w:p>
          <w:p>
            <w:pPr>
              <w:pStyle w:val="25"/>
              <w:spacing w:line="253" w:lineRule="auto"/>
              <w:rPr>
                <w:color w:val="auto"/>
                <w:sz w:val="21"/>
                <w:szCs w:val="21"/>
              </w:rPr>
            </w:pPr>
          </w:p>
          <w:p>
            <w:pPr>
              <w:spacing w:before="68" w:line="219" w:lineRule="auto"/>
              <w:ind w:left="123"/>
              <w:rPr>
                <w:rFonts w:ascii="SimSun" w:hAnsi="SimSun" w:eastAsia="SimSun" w:cs="SimSun"/>
                <w:color w:val="auto"/>
                <w:sz w:val="21"/>
                <w:szCs w:val="21"/>
              </w:rPr>
            </w:pPr>
            <w:r>
              <w:rPr>
                <w:rFonts w:ascii="SimSun" w:hAnsi="SimSun" w:eastAsia="SimSun" w:cs="SimSun"/>
                <w:color w:val="auto"/>
                <w:spacing w:val="-1"/>
                <w:sz w:val="21"/>
                <w:szCs w:val="21"/>
              </w:rPr>
              <w:t>对经营第二类监控化学品的监管</w:t>
            </w:r>
          </w:p>
        </w:tc>
        <w:tc>
          <w:tcPr>
            <w:tcW w:w="1778" w:type="dxa"/>
            <w:vAlign w:val="top"/>
          </w:tcPr>
          <w:p>
            <w:pPr>
              <w:spacing w:before="236" w:line="219" w:lineRule="auto"/>
              <w:ind w:left="255"/>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28" w:type="dxa"/>
            <w:vAlign w:val="top"/>
          </w:tcPr>
          <w:p>
            <w:pPr>
              <w:spacing w:before="96" w:line="243" w:lineRule="auto"/>
              <w:ind w:left="157" w:right="41" w:hanging="100"/>
              <w:rPr>
                <w:rFonts w:ascii="SimSun" w:hAnsi="SimSun" w:eastAsia="SimSun" w:cs="SimSun"/>
                <w:color w:val="auto"/>
                <w:sz w:val="21"/>
                <w:szCs w:val="21"/>
              </w:rPr>
            </w:pPr>
            <w:r>
              <w:rPr>
                <w:rFonts w:ascii="SimSun" w:hAnsi="SimSun" w:eastAsia="SimSun" w:cs="SimSun"/>
                <w:color w:val="auto"/>
                <w:sz w:val="21"/>
                <w:szCs w:val="21"/>
              </w:rPr>
              <w:t>未被投诉、举报、行政处</w:t>
            </w:r>
            <w:r>
              <w:rPr>
                <w:rFonts w:ascii="SimSun" w:hAnsi="SimSun" w:eastAsia="SimSun" w:cs="SimSun"/>
                <w:color w:val="auto"/>
                <w:spacing w:val="8"/>
                <w:sz w:val="21"/>
                <w:szCs w:val="21"/>
              </w:rPr>
              <w:t xml:space="preserve"> </w:t>
            </w:r>
            <w:r>
              <w:rPr>
                <w:rFonts w:ascii="SimSun" w:hAnsi="SimSun" w:eastAsia="SimSun" w:cs="SimSun"/>
                <w:color w:val="auto"/>
                <w:spacing w:val="1"/>
                <w:sz w:val="21"/>
                <w:szCs w:val="21"/>
              </w:rPr>
              <w:t>罚的法人或非法人组织</w:t>
            </w:r>
          </w:p>
        </w:tc>
        <w:tc>
          <w:tcPr>
            <w:tcW w:w="1754" w:type="dxa"/>
            <w:vAlign w:val="top"/>
          </w:tcPr>
          <w:p>
            <w:pPr>
              <w:spacing w:before="235" w:line="219" w:lineRule="auto"/>
              <w:ind w:left="139"/>
              <w:rPr>
                <w:rFonts w:ascii="SimSun" w:hAnsi="SimSun" w:eastAsia="SimSun" w:cs="SimSun"/>
                <w:color w:val="auto"/>
                <w:sz w:val="21"/>
                <w:szCs w:val="21"/>
              </w:rPr>
            </w:pPr>
            <w:r>
              <w:rPr>
                <w:rFonts w:ascii="SimSun" w:hAnsi="SimSun" w:eastAsia="SimSun" w:cs="SimSun"/>
                <w:color w:val="auto"/>
                <w:spacing w:val="-2"/>
                <w:sz w:val="21"/>
                <w:szCs w:val="21"/>
              </w:rPr>
              <w:t>双随机、一公开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864" w:type="dxa"/>
            <w:vMerge w:val="continue"/>
            <w:tcBorders>
              <w:top w:val="nil"/>
            </w:tcBorders>
            <w:vAlign w:val="top"/>
          </w:tcPr>
          <w:p>
            <w:pPr>
              <w:pStyle w:val="25"/>
              <w:rPr>
                <w:color w:val="auto"/>
                <w:sz w:val="21"/>
                <w:szCs w:val="21"/>
              </w:rPr>
            </w:pPr>
          </w:p>
        </w:tc>
        <w:tc>
          <w:tcPr>
            <w:tcW w:w="2358" w:type="dxa"/>
            <w:vMerge w:val="continue"/>
            <w:tcBorders>
              <w:top w:val="nil"/>
            </w:tcBorders>
            <w:vAlign w:val="top"/>
          </w:tcPr>
          <w:p>
            <w:pPr>
              <w:pStyle w:val="25"/>
              <w:rPr>
                <w:color w:val="auto"/>
                <w:sz w:val="21"/>
                <w:szCs w:val="21"/>
              </w:rPr>
            </w:pPr>
          </w:p>
        </w:tc>
        <w:tc>
          <w:tcPr>
            <w:tcW w:w="1449" w:type="dxa"/>
            <w:vMerge w:val="continue"/>
            <w:tcBorders>
              <w:top w:val="nil"/>
            </w:tcBorders>
            <w:vAlign w:val="top"/>
          </w:tcPr>
          <w:p>
            <w:pPr>
              <w:pStyle w:val="25"/>
              <w:rPr>
                <w:color w:val="auto"/>
                <w:sz w:val="21"/>
                <w:szCs w:val="21"/>
              </w:rPr>
            </w:pPr>
          </w:p>
        </w:tc>
        <w:tc>
          <w:tcPr>
            <w:tcW w:w="3178" w:type="dxa"/>
            <w:vMerge w:val="continue"/>
            <w:tcBorders>
              <w:top w:val="nil"/>
            </w:tcBorders>
            <w:vAlign w:val="top"/>
          </w:tcPr>
          <w:p>
            <w:pPr>
              <w:pStyle w:val="25"/>
              <w:rPr>
                <w:color w:val="auto"/>
                <w:sz w:val="21"/>
                <w:szCs w:val="21"/>
              </w:rPr>
            </w:pPr>
          </w:p>
        </w:tc>
        <w:tc>
          <w:tcPr>
            <w:tcW w:w="1778" w:type="dxa"/>
            <w:vAlign w:val="top"/>
          </w:tcPr>
          <w:p>
            <w:pPr>
              <w:spacing w:before="237" w:line="219" w:lineRule="auto"/>
              <w:ind w:left="255"/>
              <w:rPr>
                <w:rFonts w:ascii="SimSun" w:hAnsi="SimSun" w:eastAsia="SimSun" w:cs="SimSun"/>
                <w:color w:val="auto"/>
                <w:sz w:val="21"/>
                <w:szCs w:val="21"/>
              </w:rPr>
            </w:pPr>
            <w:r>
              <w:rPr>
                <w:rFonts w:ascii="SimSun" w:hAnsi="SimSun" w:eastAsia="SimSun" w:cs="SimSun"/>
                <w:color w:val="auto"/>
                <w:spacing w:val="-2"/>
                <w:sz w:val="21"/>
                <w:szCs w:val="21"/>
              </w:rPr>
              <w:t>重点检查对象</w:t>
            </w:r>
          </w:p>
        </w:tc>
        <w:tc>
          <w:tcPr>
            <w:tcW w:w="2428" w:type="dxa"/>
            <w:vAlign w:val="top"/>
          </w:tcPr>
          <w:p>
            <w:pPr>
              <w:spacing w:before="76" w:line="258" w:lineRule="auto"/>
              <w:ind w:left="127" w:right="24" w:hanging="70"/>
              <w:rPr>
                <w:rFonts w:ascii="SimSun" w:hAnsi="SimSun" w:eastAsia="SimSun" w:cs="SimSun"/>
                <w:color w:val="auto"/>
                <w:sz w:val="21"/>
                <w:szCs w:val="21"/>
              </w:rPr>
            </w:pPr>
            <w:r>
              <w:rPr>
                <w:rFonts w:ascii="SimSun" w:hAnsi="SimSun" w:eastAsia="SimSun" w:cs="SimSun"/>
                <w:color w:val="auto"/>
                <w:spacing w:val="2"/>
                <w:sz w:val="21"/>
                <w:szCs w:val="21"/>
              </w:rPr>
              <w:t xml:space="preserve">被投诉、举报、行政处罚 </w:t>
            </w:r>
            <w:r>
              <w:rPr>
                <w:rFonts w:ascii="SimSun" w:hAnsi="SimSun" w:eastAsia="SimSun" w:cs="SimSun"/>
                <w:color w:val="auto"/>
                <w:spacing w:val="1"/>
                <w:sz w:val="21"/>
                <w:szCs w:val="21"/>
              </w:rPr>
              <w:t>的法人或非法人组织</w:t>
            </w:r>
          </w:p>
        </w:tc>
        <w:tc>
          <w:tcPr>
            <w:tcW w:w="1754" w:type="dxa"/>
            <w:vAlign w:val="top"/>
          </w:tcPr>
          <w:p>
            <w:pPr>
              <w:spacing w:before="237"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bl>
    <w:p>
      <w:pPr>
        <w:rPr>
          <w:rFonts w:ascii="Arial"/>
          <w:color w:val="auto"/>
          <w:sz w:val="21"/>
        </w:rPr>
      </w:pPr>
    </w:p>
    <w:p>
      <w:pPr>
        <w:rPr>
          <w:rFonts w:ascii="Arial" w:hAnsi="Arial" w:eastAsia="Arial" w:cs="Arial"/>
          <w:color w:val="auto"/>
          <w:sz w:val="21"/>
          <w:szCs w:val="21"/>
        </w:rPr>
        <w:sectPr>
          <w:footerReference r:id="rId4" w:type="default"/>
          <w:pgSz w:w="16840" w:h="11910"/>
          <w:pgMar w:top="1012" w:right="1514" w:bottom="1574" w:left="1505" w:header="0" w:footer="1257" w:gutter="0"/>
          <w:cols w:space="720" w:num="1"/>
        </w:sectPr>
      </w:pPr>
    </w:p>
    <w:p>
      <w:pPr>
        <w:spacing w:before="5"/>
        <w:rPr>
          <w:color w:val="auto"/>
        </w:rPr>
      </w:pPr>
    </w:p>
    <w:p>
      <w:pPr>
        <w:spacing w:before="4"/>
        <w:rPr>
          <w:color w:val="auto"/>
        </w:rPr>
      </w:pPr>
    </w:p>
    <w:tbl>
      <w:tblPr>
        <w:tblStyle w:val="24"/>
        <w:tblW w:w="138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4"/>
        <w:gridCol w:w="2348"/>
        <w:gridCol w:w="1459"/>
        <w:gridCol w:w="3178"/>
        <w:gridCol w:w="1778"/>
        <w:gridCol w:w="2418"/>
        <w:gridCol w:w="1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874" w:type="dxa"/>
            <w:vAlign w:val="top"/>
          </w:tcPr>
          <w:p>
            <w:pPr>
              <w:spacing w:before="221" w:line="221" w:lineRule="auto"/>
              <w:ind w:left="217"/>
              <w:rPr>
                <w:rFonts w:ascii="SimSun" w:hAnsi="SimSun" w:eastAsia="SimSun" w:cs="SimSun"/>
                <w:color w:val="auto"/>
                <w:sz w:val="21"/>
                <w:szCs w:val="21"/>
              </w:rPr>
            </w:pPr>
            <w:r>
              <w:rPr>
                <w:rFonts w:ascii="SimSun" w:hAnsi="SimSun" w:eastAsia="SimSun" w:cs="SimSun"/>
                <w:b/>
                <w:bCs/>
                <w:color w:val="auto"/>
                <w:spacing w:val="-5"/>
                <w:sz w:val="21"/>
                <w:szCs w:val="21"/>
              </w:rPr>
              <w:t>序号</w:t>
            </w:r>
          </w:p>
        </w:tc>
        <w:tc>
          <w:tcPr>
            <w:tcW w:w="2348" w:type="dxa"/>
            <w:vAlign w:val="top"/>
          </w:tcPr>
          <w:p>
            <w:pPr>
              <w:spacing w:before="220" w:line="219" w:lineRule="auto"/>
              <w:ind w:left="533"/>
              <w:rPr>
                <w:rFonts w:ascii="SimSun" w:hAnsi="SimSun" w:eastAsia="SimSun" w:cs="SimSun"/>
                <w:color w:val="auto"/>
                <w:sz w:val="21"/>
                <w:szCs w:val="21"/>
              </w:rPr>
            </w:pPr>
            <w:r>
              <w:rPr>
                <w:rFonts w:ascii="SimSun" w:hAnsi="SimSun" w:eastAsia="SimSun" w:cs="SimSun"/>
                <w:b/>
                <w:bCs/>
                <w:color w:val="auto"/>
                <w:spacing w:val="-4"/>
                <w:sz w:val="21"/>
                <w:szCs w:val="21"/>
              </w:rPr>
              <w:t>检查事项名称</w:t>
            </w:r>
          </w:p>
        </w:tc>
        <w:tc>
          <w:tcPr>
            <w:tcW w:w="4637" w:type="dxa"/>
            <w:gridSpan w:val="2"/>
            <w:vAlign w:val="top"/>
          </w:tcPr>
          <w:p>
            <w:pPr>
              <w:spacing w:before="220" w:line="219" w:lineRule="auto"/>
              <w:ind w:left="1615"/>
              <w:rPr>
                <w:rFonts w:ascii="SimSun" w:hAnsi="SimSun" w:eastAsia="SimSun" w:cs="SimSun"/>
                <w:color w:val="auto"/>
                <w:sz w:val="21"/>
                <w:szCs w:val="21"/>
              </w:rPr>
            </w:pPr>
            <w:r>
              <w:rPr>
                <w:rFonts w:ascii="SimSun" w:hAnsi="SimSun" w:eastAsia="SimSun" w:cs="SimSun"/>
                <w:b/>
                <w:bCs/>
                <w:color w:val="auto"/>
                <w:spacing w:val="-4"/>
                <w:sz w:val="21"/>
                <w:szCs w:val="21"/>
              </w:rPr>
              <w:t>检查事项划分</w:t>
            </w:r>
          </w:p>
        </w:tc>
        <w:tc>
          <w:tcPr>
            <w:tcW w:w="4196" w:type="dxa"/>
            <w:gridSpan w:val="2"/>
            <w:vAlign w:val="top"/>
          </w:tcPr>
          <w:p>
            <w:pPr>
              <w:spacing w:before="220" w:line="219" w:lineRule="auto"/>
              <w:ind w:left="1628"/>
              <w:rPr>
                <w:rFonts w:ascii="SimSun" w:hAnsi="SimSun" w:eastAsia="SimSun" w:cs="SimSun"/>
                <w:color w:val="auto"/>
                <w:sz w:val="21"/>
                <w:szCs w:val="21"/>
              </w:rPr>
            </w:pPr>
            <w:r>
              <w:rPr>
                <w:rFonts w:ascii="SimSun" w:hAnsi="SimSun" w:eastAsia="SimSun" w:cs="SimSun"/>
                <w:b/>
                <w:bCs/>
                <w:color w:val="auto"/>
                <w:spacing w:val="-4"/>
                <w:sz w:val="21"/>
                <w:szCs w:val="21"/>
              </w:rPr>
              <w:t>对象划分</w:t>
            </w:r>
          </w:p>
        </w:tc>
        <w:tc>
          <w:tcPr>
            <w:tcW w:w="1754" w:type="dxa"/>
            <w:vAlign w:val="top"/>
          </w:tcPr>
          <w:p>
            <w:pPr>
              <w:spacing w:before="220" w:line="219" w:lineRule="auto"/>
              <w:ind w:left="402"/>
              <w:rPr>
                <w:rFonts w:ascii="SimSun" w:hAnsi="SimSun" w:eastAsia="SimSun" w:cs="SimSun"/>
                <w:color w:val="auto"/>
                <w:sz w:val="21"/>
                <w:szCs w:val="21"/>
              </w:rPr>
            </w:pPr>
            <w:r>
              <w:rPr>
                <w:rFonts w:ascii="SimSun" w:hAnsi="SimSun" w:eastAsia="SimSun" w:cs="SimSun"/>
                <w:b/>
                <w:bCs/>
                <w:color w:val="auto"/>
                <w:spacing w:val="-4"/>
                <w:sz w:val="21"/>
                <w:szCs w:val="21"/>
              </w:rPr>
              <w:t>监管方式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874" w:type="dxa"/>
            <w:vMerge w:val="restart"/>
            <w:tcBorders>
              <w:bottom w:val="nil"/>
            </w:tcBorders>
            <w:vAlign w:val="top"/>
          </w:tcPr>
          <w:p>
            <w:pPr>
              <w:pStyle w:val="25"/>
              <w:spacing w:line="252" w:lineRule="auto"/>
              <w:rPr>
                <w:color w:val="auto"/>
              </w:rPr>
            </w:pPr>
          </w:p>
          <w:p>
            <w:pPr>
              <w:pStyle w:val="25"/>
              <w:spacing w:line="252" w:lineRule="auto"/>
              <w:rPr>
                <w:color w:val="auto"/>
              </w:rPr>
            </w:pPr>
          </w:p>
          <w:p>
            <w:pPr>
              <w:pStyle w:val="25"/>
              <w:spacing w:line="252" w:lineRule="auto"/>
              <w:rPr>
                <w:color w:val="auto"/>
              </w:rPr>
            </w:pPr>
          </w:p>
          <w:p>
            <w:pPr>
              <w:pStyle w:val="25"/>
              <w:spacing w:line="252" w:lineRule="auto"/>
              <w:rPr>
                <w:color w:val="auto"/>
              </w:rPr>
            </w:pPr>
          </w:p>
          <w:p>
            <w:pPr>
              <w:pStyle w:val="25"/>
              <w:spacing w:line="252" w:lineRule="auto"/>
              <w:rPr>
                <w:color w:val="auto"/>
              </w:rPr>
            </w:pPr>
          </w:p>
          <w:p>
            <w:pPr>
              <w:pStyle w:val="25"/>
              <w:spacing w:line="252" w:lineRule="auto"/>
              <w:rPr>
                <w:color w:val="auto"/>
              </w:rPr>
            </w:pPr>
          </w:p>
          <w:p>
            <w:pPr>
              <w:pStyle w:val="25"/>
              <w:spacing w:line="252" w:lineRule="auto"/>
              <w:rPr>
                <w:color w:val="auto"/>
              </w:rPr>
            </w:pPr>
          </w:p>
          <w:p>
            <w:pPr>
              <w:pStyle w:val="25"/>
              <w:spacing w:line="252" w:lineRule="auto"/>
              <w:rPr>
                <w:color w:val="auto"/>
              </w:rPr>
            </w:pPr>
          </w:p>
          <w:p>
            <w:pPr>
              <w:pStyle w:val="25"/>
              <w:spacing w:line="252" w:lineRule="auto"/>
              <w:rPr>
                <w:color w:val="auto"/>
              </w:rPr>
            </w:pPr>
          </w:p>
          <w:p>
            <w:pPr>
              <w:pStyle w:val="25"/>
              <w:spacing w:line="252" w:lineRule="auto"/>
              <w:rPr>
                <w:color w:val="auto"/>
              </w:rPr>
            </w:pPr>
          </w:p>
          <w:p>
            <w:pPr>
              <w:pStyle w:val="25"/>
              <w:spacing w:line="252" w:lineRule="auto"/>
              <w:rPr>
                <w:color w:val="auto"/>
              </w:rPr>
            </w:pPr>
          </w:p>
          <w:p>
            <w:pPr>
              <w:pStyle w:val="25"/>
              <w:spacing w:line="252" w:lineRule="auto"/>
              <w:rPr>
                <w:color w:val="auto"/>
              </w:rPr>
            </w:pPr>
          </w:p>
          <w:p>
            <w:pPr>
              <w:pStyle w:val="25"/>
              <w:spacing w:line="252" w:lineRule="auto"/>
              <w:rPr>
                <w:color w:val="auto"/>
              </w:rPr>
            </w:pPr>
          </w:p>
          <w:p>
            <w:pPr>
              <w:pStyle w:val="25"/>
              <w:spacing w:line="253" w:lineRule="auto"/>
              <w:rPr>
                <w:color w:val="auto"/>
              </w:rPr>
            </w:pPr>
          </w:p>
          <w:p>
            <w:pPr>
              <w:pStyle w:val="25"/>
              <w:spacing w:line="253" w:lineRule="auto"/>
              <w:rPr>
                <w:color w:val="auto"/>
              </w:rPr>
            </w:pPr>
          </w:p>
          <w:p>
            <w:pPr>
              <w:spacing w:before="68" w:line="183" w:lineRule="auto"/>
              <w:ind w:left="374"/>
              <w:rPr>
                <w:rFonts w:ascii="SimSun" w:hAnsi="SimSun" w:eastAsia="SimSun" w:cs="SimSun"/>
                <w:color w:val="auto"/>
                <w:sz w:val="21"/>
                <w:szCs w:val="21"/>
              </w:rPr>
            </w:pPr>
            <w:r>
              <w:rPr>
                <w:rFonts w:ascii="SimSun" w:hAnsi="SimSun" w:eastAsia="SimSun" w:cs="SimSun"/>
                <w:color w:val="auto"/>
                <w:sz w:val="21"/>
                <w:szCs w:val="21"/>
              </w:rPr>
              <w:t>2</w:t>
            </w:r>
          </w:p>
        </w:tc>
        <w:tc>
          <w:tcPr>
            <w:tcW w:w="2348" w:type="dxa"/>
            <w:vMerge w:val="restart"/>
            <w:tcBorders>
              <w:bottom w:val="nil"/>
            </w:tcBorders>
            <w:vAlign w:val="top"/>
          </w:tcPr>
          <w:p>
            <w:pPr>
              <w:pStyle w:val="25"/>
              <w:rPr>
                <w:color w:val="auto"/>
              </w:rPr>
            </w:pPr>
          </w:p>
          <w:p>
            <w:pPr>
              <w:pStyle w:val="25"/>
              <w:rPr>
                <w:color w:val="auto"/>
              </w:rPr>
            </w:pPr>
          </w:p>
          <w:p>
            <w:pPr>
              <w:pStyle w:val="25"/>
              <w:rPr>
                <w:color w:val="auto"/>
              </w:rPr>
            </w:pPr>
          </w:p>
          <w:p>
            <w:pPr>
              <w:pStyle w:val="25"/>
              <w:rPr>
                <w:color w:val="auto"/>
              </w:rPr>
            </w:pPr>
          </w:p>
          <w:p>
            <w:pPr>
              <w:pStyle w:val="25"/>
              <w:rPr>
                <w:color w:val="auto"/>
              </w:rPr>
            </w:pPr>
          </w:p>
          <w:p>
            <w:pPr>
              <w:pStyle w:val="25"/>
              <w:rPr>
                <w:color w:val="auto"/>
              </w:rPr>
            </w:pPr>
          </w:p>
          <w:p>
            <w:pPr>
              <w:pStyle w:val="25"/>
              <w:rPr>
                <w:color w:val="auto"/>
              </w:rPr>
            </w:pPr>
          </w:p>
          <w:p>
            <w:pPr>
              <w:pStyle w:val="25"/>
              <w:spacing w:line="241" w:lineRule="auto"/>
              <w:rPr>
                <w:color w:val="auto"/>
              </w:rPr>
            </w:pPr>
          </w:p>
          <w:p>
            <w:pPr>
              <w:pStyle w:val="25"/>
              <w:spacing w:line="241" w:lineRule="auto"/>
              <w:rPr>
                <w:color w:val="auto"/>
              </w:rPr>
            </w:pPr>
          </w:p>
          <w:p>
            <w:pPr>
              <w:pStyle w:val="25"/>
              <w:spacing w:line="241" w:lineRule="auto"/>
              <w:rPr>
                <w:color w:val="auto"/>
              </w:rPr>
            </w:pPr>
          </w:p>
          <w:p>
            <w:pPr>
              <w:pStyle w:val="25"/>
              <w:spacing w:line="241" w:lineRule="auto"/>
              <w:rPr>
                <w:color w:val="auto"/>
              </w:rPr>
            </w:pPr>
          </w:p>
          <w:p>
            <w:pPr>
              <w:pStyle w:val="25"/>
              <w:spacing w:line="241" w:lineRule="auto"/>
              <w:rPr>
                <w:color w:val="auto"/>
              </w:rPr>
            </w:pPr>
          </w:p>
          <w:p>
            <w:pPr>
              <w:pStyle w:val="25"/>
              <w:spacing w:line="241" w:lineRule="auto"/>
              <w:rPr>
                <w:color w:val="auto"/>
              </w:rPr>
            </w:pPr>
          </w:p>
          <w:p>
            <w:pPr>
              <w:pStyle w:val="25"/>
              <w:spacing w:line="241" w:lineRule="auto"/>
              <w:rPr>
                <w:color w:val="auto"/>
              </w:rPr>
            </w:pPr>
          </w:p>
          <w:p>
            <w:pPr>
              <w:pStyle w:val="25"/>
              <w:spacing w:line="241" w:lineRule="auto"/>
              <w:rPr>
                <w:color w:val="auto"/>
              </w:rPr>
            </w:pPr>
          </w:p>
          <w:p>
            <w:pPr>
              <w:spacing w:before="68" w:line="233" w:lineRule="auto"/>
              <w:ind w:left="110" w:right="134"/>
              <w:rPr>
                <w:rFonts w:ascii="SimSun" w:hAnsi="SimSun" w:eastAsia="SimSun" w:cs="SimSun"/>
                <w:color w:val="auto"/>
                <w:sz w:val="21"/>
                <w:szCs w:val="21"/>
              </w:rPr>
            </w:pPr>
            <w:r>
              <w:rPr>
                <w:rFonts w:ascii="SimSun" w:hAnsi="SimSun" w:eastAsia="SimSun" w:cs="SimSun"/>
                <w:color w:val="auto"/>
                <w:spacing w:val="-1"/>
                <w:sz w:val="21"/>
                <w:szCs w:val="21"/>
              </w:rPr>
              <w:t>对涉盐生产经营有关单</w:t>
            </w:r>
            <w:r>
              <w:rPr>
                <w:rFonts w:ascii="SimSun" w:hAnsi="SimSun" w:eastAsia="SimSun" w:cs="SimSun"/>
                <w:color w:val="auto"/>
                <w:spacing w:val="1"/>
                <w:sz w:val="21"/>
                <w:szCs w:val="21"/>
              </w:rPr>
              <w:t xml:space="preserve"> </w:t>
            </w:r>
            <w:r>
              <w:rPr>
                <w:rFonts w:ascii="SimSun" w:hAnsi="SimSun" w:eastAsia="SimSun" w:cs="SimSun"/>
                <w:color w:val="auto"/>
                <w:spacing w:val="-1"/>
                <w:sz w:val="21"/>
                <w:szCs w:val="21"/>
              </w:rPr>
              <w:t>位、个人开展监督检查</w:t>
            </w:r>
          </w:p>
        </w:tc>
        <w:tc>
          <w:tcPr>
            <w:tcW w:w="1459" w:type="dxa"/>
            <w:vMerge w:val="restart"/>
            <w:tcBorders>
              <w:bottom w:val="nil"/>
            </w:tcBorders>
            <w:vAlign w:val="top"/>
          </w:tcPr>
          <w:p>
            <w:pPr>
              <w:pStyle w:val="25"/>
              <w:spacing w:line="248" w:lineRule="auto"/>
              <w:rPr>
                <w:color w:val="auto"/>
              </w:rPr>
            </w:pPr>
          </w:p>
          <w:p>
            <w:pPr>
              <w:pStyle w:val="25"/>
              <w:spacing w:line="248" w:lineRule="auto"/>
              <w:rPr>
                <w:color w:val="auto"/>
              </w:rPr>
            </w:pPr>
          </w:p>
          <w:p>
            <w:pPr>
              <w:pStyle w:val="25"/>
              <w:spacing w:line="248" w:lineRule="auto"/>
              <w:rPr>
                <w:color w:val="auto"/>
              </w:rPr>
            </w:pPr>
          </w:p>
          <w:p>
            <w:pPr>
              <w:pStyle w:val="25"/>
              <w:spacing w:line="248" w:lineRule="auto"/>
              <w:rPr>
                <w:color w:val="auto"/>
              </w:rPr>
            </w:pPr>
          </w:p>
          <w:p>
            <w:pPr>
              <w:pStyle w:val="25"/>
              <w:spacing w:line="248" w:lineRule="auto"/>
              <w:rPr>
                <w:color w:val="auto"/>
              </w:rPr>
            </w:pPr>
          </w:p>
          <w:p>
            <w:pPr>
              <w:pStyle w:val="25"/>
              <w:spacing w:line="248" w:lineRule="auto"/>
              <w:rPr>
                <w:color w:val="auto"/>
              </w:rPr>
            </w:pPr>
          </w:p>
          <w:p>
            <w:pPr>
              <w:pStyle w:val="25"/>
              <w:spacing w:line="248" w:lineRule="auto"/>
              <w:rPr>
                <w:color w:val="auto"/>
              </w:rPr>
            </w:pPr>
          </w:p>
          <w:p>
            <w:pPr>
              <w:pStyle w:val="25"/>
              <w:spacing w:line="249" w:lineRule="auto"/>
              <w:rPr>
                <w:color w:val="auto"/>
              </w:rPr>
            </w:pPr>
          </w:p>
          <w:p>
            <w:pPr>
              <w:pStyle w:val="25"/>
              <w:spacing w:line="249" w:lineRule="auto"/>
              <w:rPr>
                <w:color w:val="auto"/>
              </w:rPr>
            </w:pPr>
          </w:p>
          <w:p>
            <w:pPr>
              <w:pStyle w:val="25"/>
              <w:spacing w:line="249" w:lineRule="auto"/>
              <w:rPr>
                <w:color w:val="auto"/>
              </w:rPr>
            </w:pPr>
          </w:p>
          <w:p>
            <w:pPr>
              <w:pStyle w:val="25"/>
              <w:spacing w:line="249" w:lineRule="auto"/>
              <w:rPr>
                <w:color w:val="auto"/>
              </w:rPr>
            </w:pPr>
          </w:p>
          <w:p>
            <w:pPr>
              <w:pStyle w:val="25"/>
              <w:spacing w:line="249" w:lineRule="auto"/>
              <w:rPr>
                <w:color w:val="auto"/>
              </w:rPr>
            </w:pPr>
          </w:p>
          <w:p>
            <w:pPr>
              <w:pStyle w:val="25"/>
              <w:spacing w:line="249" w:lineRule="auto"/>
              <w:rPr>
                <w:color w:val="auto"/>
              </w:rPr>
            </w:pPr>
          </w:p>
          <w:p>
            <w:pPr>
              <w:pStyle w:val="25"/>
              <w:spacing w:line="249" w:lineRule="auto"/>
              <w:rPr>
                <w:color w:val="auto"/>
              </w:rPr>
            </w:pPr>
          </w:p>
          <w:p>
            <w:pPr>
              <w:pStyle w:val="25"/>
              <w:spacing w:line="249" w:lineRule="auto"/>
              <w:rPr>
                <w:color w:val="auto"/>
              </w:rPr>
            </w:pPr>
          </w:p>
          <w:p>
            <w:pPr>
              <w:spacing w:before="68" w:line="219" w:lineRule="auto"/>
              <w:ind w:left="132"/>
              <w:rPr>
                <w:rFonts w:ascii="SimSun" w:hAnsi="SimSun" w:eastAsia="SimSun" w:cs="SimSun"/>
                <w:color w:val="auto"/>
                <w:sz w:val="21"/>
                <w:szCs w:val="21"/>
              </w:rPr>
            </w:pPr>
            <w:r>
              <w:rPr>
                <w:rFonts w:ascii="SimSun" w:hAnsi="SimSun" w:eastAsia="SimSun" w:cs="SimSun"/>
                <w:color w:val="auto"/>
                <w:spacing w:val="2"/>
                <w:sz w:val="21"/>
                <w:szCs w:val="21"/>
              </w:rPr>
              <w:t>一般检查事项</w:t>
            </w:r>
          </w:p>
        </w:tc>
        <w:tc>
          <w:tcPr>
            <w:tcW w:w="3178" w:type="dxa"/>
            <w:vMerge w:val="restart"/>
            <w:tcBorders>
              <w:bottom w:val="nil"/>
            </w:tcBorders>
            <w:vAlign w:val="top"/>
          </w:tcPr>
          <w:p>
            <w:pPr>
              <w:pStyle w:val="25"/>
              <w:spacing w:line="274" w:lineRule="auto"/>
              <w:rPr>
                <w:color w:val="auto"/>
              </w:rPr>
            </w:pPr>
          </w:p>
          <w:p>
            <w:pPr>
              <w:pStyle w:val="25"/>
              <w:spacing w:line="274" w:lineRule="auto"/>
              <w:rPr>
                <w:color w:val="auto"/>
              </w:rPr>
            </w:pPr>
          </w:p>
          <w:p>
            <w:pPr>
              <w:spacing w:before="68" w:line="250" w:lineRule="auto"/>
              <w:ind w:left="122" w:right="121" w:hanging="9"/>
              <w:rPr>
                <w:rFonts w:ascii="SimSun" w:hAnsi="SimSun" w:eastAsia="SimSun" w:cs="SimSun"/>
                <w:color w:val="auto"/>
                <w:sz w:val="21"/>
                <w:szCs w:val="21"/>
              </w:rPr>
            </w:pPr>
            <w:r>
              <w:rPr>
                <w:rFonts w:ascii="SimSun" w:hAnsi="SimSun" w:eastAsia="SimSun" w:cs="SimSun"/>
                <w:color w:val="auto"/>
                <w:spacing w:val="-1"/>
                <w:sz w:val="21"/>
                <w:szCs w:val="21"/>
              </w:rPr>
              <w:t>对非食盐定点批发企业经营食盐</w:t>
            </w:r>
            <w:r>
              <w:rPr>
                <w:rFonts w:ascii="SimSun" w:hAnsi="SimSun" w:eastAsia="SimSun" w:cs="SimSun"/>
                <w:color w:val="auto"/>
                <w:spacing w:val="5"/>
                <w:sz w:val="21"/>
                <w:szCs w:val="21"/>
              </w:rPr>
              <w:t xml:space="preserve"> </w:t>
            </w:r>
            <w:r>
              <w:rPr>
                <w:rFonts w:ascii="SimSun" w:hAnsi="SimSun" w:eastAsia="SimSun" w:cs="SimSun"/>
                <w:color w:val="auto"/>
                <w:spacing w:val="-1"/>
                <w:sz w:val="21"/>
                <w:szCs w:val="21"/>
              </w:rPr>
              <w:t>批发业务的行政检查</w:t>
            </w:r>
          </w:p>
        </w:tc>
        <w:tc>
          <w:tcPr>
            <w:tcW w:w="1778" w:type="dxa"/>
            <w:vAlign w:val="top"/>
          </w:tcPr>
          <w:p>
            <w:pPr>
              <w:spacing w:before="99" w:line="219" w:lineRule="auto"/>
              <w:ind w:left="255"/>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18" w:type="dxa"/>
            <w:vAlign w:val="top"/>
          </w:tcPr>
          <w:p>
            <w:pPr>
              <w:spacing w:before="98" w:line="219" w:lineRule="auto"/>
              <w:ind w:left="107"/>
              <w:rPr>
                <w:rFonts w:ascii="SimSun" w:hAnsi="SimSun" w:eastAsia="SimSun" w:cs="SimSun"/>
                <w:color w:val="auto"/>
                <w:sz w:val="21"/>
                <w:szCs w:val="21"/>
              </w:rPr>
            </w:pPr>
            <w:r>
              <w:rPr>
                <w:rFonts w:ascii="SimSun" w:hAnsi="SimSun" w:eastAsia="SimSun" w:cs="SimSun"/>
                <w:color w:val="auto"/>
                <w:spacing w:val="-1"/>
                <w:sz w:val="21"/>
                <w:szCs w:val="21"/>
              </w:rPr>
              <w:t>被投诉、举报的企业</w:t>
            </w:r>
          </w:p>
        </w:tc>
        <w:tc>
          <w:tcPr>
            <w:tcW w:w="1754" w:type="dxa"/>
            <w:vAlign w:val="top"/>
          </w:tcPr>
          <w:p>
            <w:pPr>
              <w:spacing w:before="99"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874" w:type="dxa"/>
            <w:vMerge w:val="continue"/>
            <w:tcBorders>
              <w:top w:val="nil"/>
              <w:bottom w:val="nil"/>
            </w:tcBorders>
            <w:vAlign w:val="top"/>
          </w:tcPr>
          <w:p>
            <w:pPr>
              <w:pStyle w:val="25"/>
              <w:rPr>
                <w:color w:val="auto"/>
              </w:rPr>
            </w:pPr>
          </w:p>
        </w:tc>
        <w:tc>
          <w:tcPr>
            <w:tcW w:w="2348" w:type="dxa"/>
            <w:vMerge w:val="continue"/>
            <w:tcBorders>
              <w:top w:val="nil"/>
              <w:bottom w:val="nil"/>
            </w:tcBorders>
            <w:vAlign w:val="top"/>
          </w:tcPr>
          <w:p>
            <w:pPr>
              <w:pStyle w:val="25"/>
              <w:rPr>
                <w:color w:val="auto"/>
              </w:rPr>
            </w:pPr>
          </w:p>
        </w:tc>
        <w:tc>
          <w:tcPr>
            <w:tcW w:w="1459" w:type="dxa"/>
            <w:vMerge w:val="continue"/>
            <w:tcBorders>
              <w:top w:val="nil"/>
              <w:bottom w:val="nil"/>
            </w:tcBorders>
            <w:vAlign w:val="top"/>
          </w:tcPr>
          <w:p>
            <w:pPr>
              <w:pStyle w:val="25"/>
              <w:rPr>
                <w:color w:val="auto"/>
              </w:rPr>
            </w:pPr>
          </w:p>
        </w:tc>
        <w:tc>
          <w:tcPr>
            <w:tcW w:w="3178" w:type="dxa"/>
            <w:vMerge w:val="continue"/>
            <w:tcBorders>
              <w:top w:val="nil"/>
              <w:bottom w:val="nil"/>
            </w:tcBorders>
            <w:vAlign w:val="top"/>
          </w:tcPr>
          <w:p>
            <w:pPr>
              <w:pStyle w:val="25"/>
              <w:rPr>
                <w:color w:val="auto"/>
              </w:rPr>
            </w:pPr>
          </w:p>
        </w:tc>
        <w:tc>
          <w:tcPr>
            <w:tcW w:w="1778" w:type="dxa"/>
            <w:vAlign w:val="top"/>
          </w:tcPr>
          <w:p>
            <w:pPr>
              <w:spacing w:before="120" w:line="219" w:lineRule="auto"/>
              <w:ind w:left="255"/>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18" w:type="dxa"/>
            <w:vAlign w:val="top"/>
          </w:tcPr>
          <w:p>
            <w:pPr>
              <w:spacing w:before="120" w:line="219" w:lineRule="auto"/>
              <w:ind w:left="157"/>
              <w:rPr>
                <w:rFonts w:ascii="SimSun" w:hAnsi="SimSun" w:eastAsia="SimSun" w:cs="SimSun"/>
                <w:color w:val="auto"/>
                <w:sz w:val="21"/>
                <w:szCs w:val="21"/>
              </w:rPr>
            </w:pPr>
            <w:r>
              <w:rPr>
                <w:rFonts w:ascii="SimSun" w:hAnsi="SimSun" w:eastAsia="SimSun" w:cs="SimSun"/>
                <w:color w:val="auto"/>
                <w:spacing w:val="-2"/>
                <w:sz w:val="21"/>
                <w:szCs w:val="21"/>
              </w:rPr>
              <w:t>副产物氯化钠产出企业</w:t>
            </w:r>
          </w:p>
        </w:tc>
        <w:tc>
          <w:tcPr>
            <w:tcW w:w="1754" w:type="dxa"/>
            <w:vAlign w:val="top"/>
          </w:tcPr>
          <w:p>
            <w:pPr>
              <w:spacing w:before="120"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874" w:type="dxa"/>
            <w:vMerge w:val="continue"/>
            <w:tcBorders>
              <w:top w:val="nil"/>
              <w:bottom w:val="nil"/>
            </w:tcBorders>
            <w:vAlign w:val="top"/>
          </w:tcPr>
          <w:p>
            <w:pPr>
              <w:pStyle w:val="25"/>
              <w:rPr>
                <w:color w:val="auto"/>
              </w:rPr>
            </w:pPr>
          </w:p>
        </w:tc>
        <w:tc>
          <w:tcPr>
            <w:tcW w:w="2348" w:type="dxa"/>
            <w:vMerge w:val="continue"/>
            <w:tcBorders>
              <w:top w:val="nil"/>
              <w:bottom w:val="nil"/>
            </w:tcBorders>
            <w:vAlign w:val="top"/>
          </w:tcPr>
          <w:p>
            <w:pPr>
              <w:pStyle w:val="25"/>
              <w:rPr>
                <w:color w:val="auto"/>
              </w:rPr>
            </w:pPr>
          </w:p>
        </w:tc>
        <w:tc>
          <w:tcPr>
            <w:tcW w:w="1459" w:type="dxa"/>
            <w:vMerge w:val="continue"/>
            <w:tcBorders>
              <w:top w:val="nil"/>
              <w:bottom w:val="nil"/>
            </w:tcBorders>
            <w:vAlign w:val="top"/>
          </w:tcPr>
          <w:p>
            <w:pPr>
              <w:pStyle w:val="25"/>
              <w:rPr>
                <w:color w:val="auto"/>
              </w:rPr>
            </w:pPr>
          </w:p>
        </w:tc>
        <w:tc>
          <w:tcPr>
            <w:tcW w:w="3178" w:type="dxa"/>
            <w:vMerge w:val="continue"/>
            <w:tcBorders>
              <w:top w:val="nil"/>
            </w:tcBorders>
            <w:vAlign w:val="top"/>
          </w:tcPr>
          <w:p>
            <w:pPr>
              <w:pStyle w:val="25"/>
              <w:rPr>
                <w:color w:val="auto"/>
              </w:rPr>
            </w:pPr>
          </w:p>
        </w:tc>
        <w:tc>
          <w:tcPr>
            <w:tcW w:w="1778" w:type="dxa"/>
            <w:vAlign w:val="top"/>
          </w:tcPr>
          <w:p>
            <w:pPr>
              <w:pStyle w:val="25"/>
              <w:spacing w:line="280" w:lineRule="auto"/>
              <w:rPr>
                <w:color w:val="auto"/>
              </w:rPr>
            </w:pPr>
          </w:p>
          <w:p>
            <w:pPr>
              <w:spacing w:before="69" w:line="219" w:lineRule="auto"/>
              <w:ind w:left="255"/>
              <w:rPr>
                <w:rFonts w:ascii="SimSun" w:hAnsi="SimSun" w:eastAsia="SimSun" w:cs="SimSun"/>
                <w:color w:val="auto"/>
                <w:sz w:val="21"/>
                <w:szCs w:val="21"/>
              </w:rPr>
            </w:pPr>
            <w:r>
              <w:rPr>
                <w:rFonts w:ascii="SimSun" w:hAnsi="SimSun" w:eastAsia="SimSun" w:cs="SimSun"/>
                <w:color w:val="auto"/>
                <w:spacing w:val="-2"/>
                <w:sz w:val="21"/>
                <w:szCs w:val="21"/>
              </w:rPr>
              <w:t>重点检查对象</w:t>
            </w:r>
          </w:p>
        </w:tc>
        <w:tc>
          <w:tcPr>
            <w:tcW w:w="2418" w:type="dxa"/>
            <w:vAlign w:val="top"/>
          </w:tcPr>
          <w:p>
            <w:pPr>
              <w:spacing w:before="49" w:line="219" w:lineRule="auto"/>
              <w:ind w:left="47"/>
              <w:rPr>
                <w:rFonts w:ascii="SimSun" w:hAnsi="SimSun" w:eastAsia="SimSun" w:cs="SimSun"/>
                <w:color w:val="auto"/>
                <w:sz w:val="21"/>
                <w:szCs w:val="21"/>
              </w:rPr>
            </w:pPr>
            <w:r>
              <w:rPr>
                <w:rFonts w:ascii="SimSun" w:hAnsi="SimSun" w:eastAsia="SimSun" w:cs="SimSun"/>
                <w:color w:val="auto"/>
                <w:sz w:val="21"/>
                <w:szCs w:val="21"/>
              </w:rPr>
              <w:t>多次被投诉、举报或社会</w:t>
            </w:r>
          </w:p>
          <w:p>
            <w:pPr>
              <w:spacing w:before="62" w:line="219" w:lineRule="auto"/>
              <w:ind w:left="157"/>
              <w:rPr>
                <w:rFonts w:ascii="SimSun" w:hAnsi="SimSun" w:eastAsia="SimSun" w:cs="SimSun"/>
                <w:color w:val="auto"/>
                <w:sz w:val="21"/>
                <w:szCs w:val="21"/>
              </w:rPr>
            </w:pPr>
            <w:r>
              <w:rPr>
                <w:rFonts w:ascii="SimSun" w:hAnsi="SimSun" w:eastAsia="SimSun" w:cs="SimSun"/>
                <w:color w:val="auto"/>
                <w:spacing w:val="-1"/>
                <w:sz w:val="21"/>
                <w:szCs w:val="21"/>
              </w:rPr>
              <w:t>影响恶劣以及其他监管</w:t>
            </w:r>
          </w:p>
          <w:p>
            <w:pPr>
              <w:spacing w:before="40" w:line="210" w:lineRule="auto"/>
              <w:ind w:left="107"/>
              <w:rPr>
                <w:rFonts w:ascii="SimSun" w:hAnsi="SimSun" w:eastAsia="SimSun" w:cs="SimSun"/>
                <w:color w:val="auto"/>
                <w:sz w:val="21"/>
                <w:szCs w:val="21"/>
              </w:rPr>
            </w:pPr>
            <w:r>
              <w:rPr>
                <w:rFonts w:ascii="SimSun" w:hAnsi="SimSun" w:eastAsia="SimSun" w:cs="SimSun"/>
                <w:color w:val="auto"/>
                <w:spacing w:val="-2"/>
                <w:sz w:val="21"/>
                <w:szCs w:val="21"/>
              </w:rPr>
              <w:t>部门移交的企业</w:t>
            </w:r>
          </w:p>
        </w:tc>
        <w:tc>
          <w:tcPr>
            <w:tcW w:w="1754" w:type="dxa"/>
            <w:vAlign w:val="top"/>
          </w:tcPr>
          <w:p>
            <w:pPr>
              <w:pStyle w:val="25"/>
              <w:spacing w:line="280" w:lineRule="auto"/>
              <w:rPr>
                <w:color w:val="auto"/>
              </w:rPr>
            </w:pPr>
          </w:p>
          <w:p>
            <w:pPr>
              <w:spacing w:before="69"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74" w:type="dxa"/>
            <w:vMerge w:val="continue"/>
            <w:tcBorders>
              <w:top w:val="nil"/>
              <w:bottom w:val="nil"/>
            </w:tcBorders>
            <w:vAlign w:val="top"/>
          </w:tcPr>
          <w:p>
            <w:pPr>
              <w:pStyle w:val="25"/>
              <w:rPr>
                <w:color w:val="auto"/>
              </w:rPr>
            </w:pPr>
          </w:p>
        </w:tc>
        <w:tc>
          <w:tcPr>
            <w:tcW w:w="2348" w:type="dxa"/>
            <w:vMerge w:val="continue"/>
            <w:tcBorders>
              <w:top w:val="nil"/>
              <w:bottom w:val="nil"/>
            </w:tcBorders>
            <w:vAlign w:val="top"/>
          </w:tcPr>
          <w:p>
            <w:pPr>
              <w:pStyle w:val="25"/>
              <w:rPr>
                <w:color w:val="auto"/>
              </w:rPr>
            </w:pPr>
          </w:p>
        </w:tc>
        <w:tc>
          <w:tcPr>
            <w:tcW w:w="1459" w:type="dxa"/>
            <w:vMerge w:val="continue"/>
            <w:tcBorders>
              <w:top w:val="nil"/>
              <w:bottom w:val="nil"/>
            </w:tcBorders>
            <w:vAlign w:val="top"/>
          </w:tcPr>
          <w:p>
            <w:pPr>
              <w:pStyle w:val="25"/>
              <w:rPr>
                <w:color w:val="auto"/>
              </w:rPr>
            </w:pPr>
          </w:p>
        </w:tc>
        <w:tc>
          <w:tcPr>
            <w:tcW w:w="3178" w:type="dxa"/>
            <w:vMerge w:val="restart"/>
            <w:tcBorders>
              <w:bottom w:val="nil"/>
            </w:tcBorders>
            <w:vAlign w:val="top"/>
          </w:tcPr>
          <w:p>
            <w:pPr>
              <w:pStyle w:val="25"/>
              <w:spacing w:line="259" w:lineRule="auto"/>
              <w:rPr>
                <w:color w:val="auto"/>
              </w:rPr>
            </w:pPr>
          </w:p>
          <w:p>
            <w:pPr>
              <w:pStyle w:val="25"/>
              <w:spacing w:line="260" w:lineRule="auto"/>
              <w:rPr>
                <w:color w:val="auto"/>
              </w:rPr>
            </w:pPr>
          </w:p>
          <w:p>
            <w:pPr>
              <w:spacing w:before="68" w:line="242" w:lineRule="auto"/>
              <w:ind w:left="122" w:right="121" w:hanging="9"/>
              <w:rPr>
                <w:rFonts w:ascii="SimSun" w:hAnsi="SimSun" w:eastAsia="SimSun" w:cs="SimSun"/>
                <w:color w:val="auto"/>
                <w:sz w:val="21"/>
                <w:szCs w:val="21"/>
              </w:rPr>
            </w:pPr>
            <w:r>
              <w:rPr>
                <w:rFonts w:ascii="SimSun" w:hAnsi="SimSun" w:eastAsia="SimSun" w:cs="SimSun"/>
                <w:color w:val="auto"/>
                <w:spacing w:val="-1"/>
                <w:sz w:val="21"/>
                <w:szCs w:val="21"/>
              </w:rPr>
              <w:t>对食盐定点企业违反规定聘用禁</w:t>
            </w:r>
            <w:r>
              <w:rPr>
                <w:rFonts w:ascii="SimSun" w:hAnsi="SimSun" w:eastAsia="SimSun" w:cs="SimSun"/>
                <w:color w:val="auto"/>
                <w:spacing w:val="5"/>
                <w:sz w:val="21"/>
                <w:szCs w:val="21"/>
              </w:rPr>
              <w:t xml:space="preserve"> </w:t>
            </w:r>
            <w:r>
              <w:rPr>
                <w:rFonts w:ascii="SimSun" w:hAnsi="SimSun" w:eastAsia="SimSun" w:cs="SimSun"/>
                <w:color w:val="auto"/>
                <w:spacing w:val="-1"/>
                <w:sz w:val="21"/>
                <w:szCs w:val="21"/>
              </w:rPr>
              <w:t>业限制人员的行政检查</w:t>
            </w:r>
          </w:p>
        </w:tc>
        <w:tc>
          <w:tcPr>
            <w:tcW w:w="1778" w:type="dxa"/>
            <w:vAlign w:val="top"/>
          </w:tcPr>
          <w:p>
            <w:pPr>
              <w:spacing w:before="71" w:line="219" w:lineRule="auto"/>
              <w:ind w:left="255"/>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18" w:type="dxa"/>
            <w:vAlign w:val="top"/>
          </w:tcPr>
          <w:p>
            <w:pPr>
              <w:spacing w:before="70" w:line="219" w:lineRule="auto"/>
              <w:ind w:left="157"/>
              <w:rPr>
                <w:rFonts w:ascii="SimSun" w:hAnsi="SimSun" w:eastAsia="SimSun" w:cs="SimSun"/>
                <w:color w:val="auto"/>
                <w:sz w:val="21"/>
                <w:szCs w:val="21"/>
              </w:rPr>
            </w:pPr>
            <w:r>
              <w:rPr>
                <w:rFonts w:ascii="SimSun" w:hAnsi="SimSun" w:eastAsia="SimSun" w:cs="SimSun"/>
                <w:color w:val="auto"/>
                <w:spacing w:val="-2"/>
                <w:sz w:val="21"/>
                <w:szCs w:val="21"/>
              </w:rPr>
              <w:t>未被投诉、举报的企业</w:t>
            </w:r>
          </w:p>
        </w:tc>
        <w:tc>
          <w:tcPr>
            <w:tcW w:w="1754" w:type="dxa"/>
            <w:vAlign w:val="top"/>
          </w:tcPr>
          <w:p>
            <w:pPr>
              <w:spacing w:before="70"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双随机、一公开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874" w:type="dxa"/>
            <w:vMerge w:val="continue"/>
            <w:tcBorders>
              <w:top w:val="nil"/>
              <w:bottom w:val="nil"/>
            </w:tcBorders>
            <w:vAlign w:val="top"/>
          </w:tcPr>
          <w:p>
            <w:pPr>
              <w:pStyle w:val="25"/>
              <w:rPr>
                <w:color w:val="auto"/>
              </w:rPr>
            </w:pPr>
          </w:p>
        </w:tc>
        <w:tc>
          <w:tcPr>
            <w:tcW w:w="2348" w:type="dxa"/>
            <w:vMerge w:val="continue"/>
            <w:tcBorders>
              <w:top w:val="nil"/>
              <w:bottom w:val="nil"/>
            </w:tcBorders>
            <w:vAlign w:val="top"/>
          </w:tcPr>
          <w:p>
            <w:pPr>
              <w:pStyle w:val="25"/>
              <w:rPr>
                <w:color w:val="auto"/>
              </w:rPr>
            </w:pPr>
          </w:p>
        </w:tc>
        <w:tc>
          <w:tcPr>
            <w:tcW w:w="1459" w:type="dxa"/>
            <w:vMerge w:val="continue"/>
            <w:tcBorders>
              <w:top w:val="nil"/>
              <w:bottom w:val="nil"/>
            </w:tcBorders>
            <w:vAlign w:val="top"/>
          </w:tcPr>
          <w:p>
            <w:pPr>
              <w:pStyle w:val="25"/>
              <w:rPr>
                <w:color w:val="auto"/>
              </w:rPr>
            </w:pPr>
          </w:p>
        </w:tc>
        <w:tc>
          <w:tcPr>
            <w:tcW w:w="3178" w:type="dxa"/>
            <w:vMerge w:val="continue"/>
            <w:tcBorders>
              <w:top w:val="nil"/>
              <w:bottom w:val="nil"/>
            </w:tcBorders>
            <w:vAlign w:val="top"/>
          </w:tcPr>
          <w:p>
            <w:pPr>
              <w:pStyle w:val="25"/>
              <w:rPr>
                <w:color w:val="auto"/>
              </w:rPr>
            </w:pPr>
          </w:p>
        </w:tc>
        <w:tc>
          <w:tcPr>
            <w:tcW w:w="1778" w:type="dxa"/>
            <w:vAlign w:val="top"/>
          </w:tcPr>
          <w:p>
            <w:pPr>
              <w:spacing w:before="91" w:line="219" w:lineRule="auto"/>
              <w:ind w:left="255"/>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18" w:type="dxa"/>
            <w:vAlign w:val="top"/>
          </w:tcPr>
          <w:p>
            <w:pPr>
              <w:spacing w:before="90" w:line="219" w:lineRule="auto"/>
              <w:ind w:left="117"/>
              <w:rPr>
                <w:rFonts w:ascii="SimSun" w:hAnsi="SimSun" w:eastAsia="SimSun" w:cs="SimSun"/>
                <w:color w:val="auto"/>
                <w:sz w:val="21"/>
                <w:szCs w:val="21"/>
              </w:rPr>
            </w:pPr>
            <w:r>
              <w:rPr>
                <w:rFonts w:ascii="SimSun" w:hAnsi="SimSun" w:eastAsia="SimSun" w:cs="SimSun"/>
                <w:color w:val="auto"/>
                <w:spacing w:val="-1"/>
                <w:sz w:val="21"/>
                <w:szCs w:val="21"/>
              </w:rPr>
              <w:t>被投诉、举报的企业</w:t>
            </w:r>
          </w:p>
        </w:tc>
        <w:tc>
          <w:tcPr>
            <w:tcW w:w="1754" w:type="dxa"/>
            <w:vAlign w:val="top"/>
          </w:tcPr>
          <w:p>
            <w:pPr>
              <w:spacing w:before="91"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trPr>
        <w:tc>
          <w:tcPr>
            <w:tcW w:w="874" w:type="dxa"/>
            <w:vMerge w:val="continue"/>
            <w:tcBorders>
              <w:top w:val="nil"/>
              <w:bottom w:val="nil"/>
            </w:tcBorders>
            <w:vAlign w:val="top"/>
          </w:tcPr>
          <w:p>
            <w:pPr>
              <w:pStyle w:val="25"/>
              <w:rPr>
                <w:color w:val="auto"/>
              </w:rPr>
            </w:pPr>
          </w:p>
        </w:tc>
        <w:tc>
          <w:tcPr>
            <w:tcW w:w="2348" w:type="dxa"/>
            <w:vMerge w:val="continue"/>
            <w:tcBorders>
              <w:top w:val="nil"/>
              <w:bottom w:val="nil"/>
            </w:tcBorders>
            <w:vAlign w:val="top"/>
          </w:tcPr>
          <w:p>
            <w:pPr>
              <w:pStyle w:val="25"/>
              <w:rPr>
                <w:color w:val="auto"/>
              </w:rPr>
            </w:pPr>
          </w:p>
        </w:tc>
        <w:tc>
          <w:tcPr>
            <w:tcW w:w="1459" w:type="dxa"/>
            <w:vMerge w:val="continue"/>
            <w:tcBorders>
              <w:top w:val="nil"/>
              <w:bottom w:val="nil"/>
            </w:tcBorders>
            <w:vAlign w:val="top"/>
          </w:tcPr>
          <w:p>
            <w:pPr>
              <w:pStyle w:val="25"/>
              <w:rPr>
                <w:color w:val="auto"/>
              </w:rPr>
            </w:pPr>
          </w:p>
        </w:tc>
        <w:tc>
          <w:tcPr>
            <w:tcW w:w="3178" w:type="dxa"/>
            <w:vMerge w:val="continue"/>
            <w:tcBorders>
              <w:top w:val="nil"/>
            </w:tcBorders>
            <w:vAlign w:val="top"/>
          </w:tcPr>
          <w:p>
            <w:pPr>
              <w:pStyle w:val="25"/>
              <w:rPr>
                <w:color w:val="auto"/>
              </w:rPr>
            </w:pPr>
          </w:p>
        </w:tc>
        <w:tc>
          <w:tcPr>
            <w:tcW w:w="1778" w:type="dxa"/>
            <w:vAlign w:val="top"/>
          </w:tcPr>
          <w:p>
            <w:pPr>
              <w:pStyle w:val="25"/>
              <w:spacing w:line="281" w:lineRule="auto"/>
              <w:rPr>
                <w:color w:val="auto"/>
              </w:rPr>
            </w:pPr>
          </w:p>
          <w:p>
            <w:pPr>
              <w:spacing w:before="69" w:line="219" w:lineRule="auto"/>
              <w:ind w:left="255"/>
              <w:rPr>
                <w:rFonts w:ascii="SimSun" w:hAnsi="SimSun" w:eastAsia="SimSun" w:cs="SimSun"/>
                <w:color w:val="auto"/>
                <w:sz w:val="21"/>
                <w:szCs w:val="21"/>
              </w:rPr>
            </w:pPr>
            <w:r>
              <w:rPr>
                <w:rFonts w:ascii="SimSun" w:hAnsi="SimSun" w:eastAsia="SimSun" w:cs="SimSun"/>
                <w:color w:val="auto"/>
                <w:spacing w:val="-2"/>
                <w:sz w:val="21"/>
                <w:szCs w:val="21"/>
              </w:rPr>
              <w:t>重点检查对象</w:t>
            </w:r>
          </w:p>
        </w:tc>
        <w:tc>
          <w:tcPr>
            <w:tcW w:w="2418" w:type="dxa"/>
            <w:vAlign w:val="top"/>
          </w:tcPr>
          <w:p>
            <w:pPr>
              <w:spacing w:before="30" w:line="219" w:lineRule="auto"/>
              <w:ind w:left="47"/>
              <w:rPr>
                <w:rFonts w:ascii="SimSun" w:hAnsi="SimSun" w:eastAsia="SimSun" w:cs="SimSun"/>
                <w:color w:val="auto"/>
                <w:sz w:val="21"/>
                <w:szCs w:val="21"/>
              </w:rPr>
            </w:pPr>
            <w:r>
              <w:rPr>
                <w:rFonts w:ascii="SimSun" w:hAnsi="SimSun" w:eastAsia="SimSun" w:cs="SimSun"/>
                <w:color w:val="auto"/>
                <w:sz w:val="21"/>
                <w:szCs w:val="21"/>
              </w:rPr>
              <w:t>多次被投诉、举报或社会</w:t>
            </w:r>
          </w:p>
          <w:p>
            <w:pPr>
              <w:spacing w:before="82" w:line="219" w:lineRule="auto"/>
              <w:ind w:left="157"/>
              <w:rPr>
                <w:rFonts w:ascii="SimSun" w:hAnsi="SimSun" w:eastAsia="SimSun" w:cs="SimSun"/>
                <w:color w:val="auto"/>
                <w:sz w:val="21"/>
                <w:szCs w:val="21"/>
              </w:rPr>
            </w:pPr>
            <w:r>
              <w:rPr>
                <w:rFonts w:ascii="SimSun" w:hAnsi="SimSun" w:eastAsia="SimSun" w:cs="SimSun"/>
                <w:color w:val="auto"/>
                <w:spacing w:val="-1"/>
                <w:sz w:val="21"/>
                <w:szCs w:val="21"/>
              </w:rPr>
              <w:t>影响恶劣以及其他监管</w:t>
            </w:r>
          </w:p>
          <w:p>
            <w:pPr>
              <w:spacing w:before="60" w:line="200" w:lineRule="auto"/>
              <w:ind w:left="107"/>
              <w:rPr>
                <w:rFonts w:ascii="SimSun" w:hAnsi="SimSun" w:eastAsia="SimSun" w:cs="SimSun"/>
                <w:color w:val="auto"/>
                <w:sz w:val="21"/>
                <w:szCs w:val="21"/>
              </w:rPr>
            </w:pPr>
            <w:r>
              <w:rPr>
                <w:rFonts w:ascii="SimSun" w:hAnsi="SimSun" w:eastAsia="SimSun" w:cs="SimSun"/>
                <w:color w:val="auto"/>
                <w:spacing w:val="-2"/>
                <w:sz w:val="21"/>
                <w:szCs w:val="21"/>
              </w:rPr>
              <w:t>部门移交的企业</w:t>
            </w:r>
          </w:p>
        </w:tc>
        <w:tc>
          <w:tcPr>
            <w:tcW w:w="1754" w:type="dxa"/>
            <w:vAlign w:val="top"/>
          </w:tcPr>
          <w:p>
            <w:pPr>
              <w:pStyle w:val="25"/>
              <w:spacing w:line="281" w:lineRule="auto"/>
              <w:rPr>
                <w:color w:val="auto"/>
              </w:rPr>
            </w:pPr>
          </w:p>
          <w:p>
            <w:pPr>
              <w:spacing w:before="69"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874" w:type="dxa"/>
            <w:vMerge w:val="continue"/>
            <w:tcBorders>
              <w:top w:val="nil"/>
              <w:bottom w:val="nil"/>
            </w:tcBorders>
            <w:vAlign w:val="top"/>
          </w:tcPr>
          <w:p>
            <w:pPr>
              <w:pStyle w:val="25"/>
              <w:rPr>
                <w:color w:val="auto"/>
              </w:rPr>
            </w:pPr>
          </w:p>
        </w:tc>
        <w:tc>
          <w:tcPr>
            <w:tcW w:w="2348" w:type="dxa"/>
            <w:vMerge w:val="continue"/>
            <w:tcBorders>
              <w:top w:val="nil"/>
              <w:bottom w:val="nil"/>
            </w:tcBorders>
            <w:vAlign w:val="top"/>
          </w:tcPr>
          <w:p>
            <w:pPr>
              <w:pStyle w:val="25"/>
              <w:rPr>
                <w:color w:val="auto"/>
              </w:rPr>
            </w:pPr>
          </w:p>
        </w:tc>
        <w:tc>
          <w:tcPr>
            <w:tcW w:w="1459" w:type="dxa"/>
            <w:vMerge w:val="continue"/>
            <w:tcBorders>
              <w:top w:val="nil"/>
              <w:bottom w:val="nil"/>
            </w:tcBorders>
            <w:vAlign w:val="top"/>
          </w:tcPr>
          <w:p>
            <w:pPr>
              <w:pStyle w:val="25"/>
              <w:rPr>
                <w:color w:val="auto"/>
              </w:rPr>
            </w:pPr>
          </w:p>
        </w:tc>
        <w:tc>
          <w:tcPr>
            <w:tcW w:w="3178" w:type="dxa"/>
            <w:vMerge w:val="restart"/>
            <w:tcBorders>
              <w:bottom w:val="nil"/>
            </w:tcBorders>
            <w:vAlign w:val="top"/>
          </w:tcPr>
          <w:p>
            <w:pPr>
              <w:pStyle w:val="25"/>
              <w:spacing w:line="371" w:lineRule="auto"/>
              <w:rPr>
                <w:color w:val="auto"/>
              </w:rPr>
            </w:pPr>
          </w:p>
          <w:p>
            <w:pPr>
              <w:spacing w:before="68" w:line="255" w:lineRule="auto"/>
              <w:ind w:left="113" w:right="102"/>
              <w:jc w:val="both"/>
              <w:rPr>
                <w:rFonts w:ascii="SimSun" w:hAnsi="SimSun" w:eastAsia="SimSun" w:cs="SimSun"/>
                <w:color w:val="auto"/>
                <w:sz w:val="21"/>
                <w:szCs w:val="21"/>
              </w:rPr>
            </w:pPr>
            <w:r>
              <w:rPr>
                <w:rFonts w:ascii="SimSun" w:hAnsi="SimSun" w:eastAsia="SimSun" w:cs="SimSun"/>
                <w:color w:val="auto"/>
                <w:spacing w:val="-1"/>
                <w:sz w:val="21"/>
                <w:szCs w:val="21"/>
              </w:rPr>
              <w:t>对食盐定点生产企业和非食用盐</w:t>
            </w:r>
            <w:r>
              <w:rPr>
                <w:rFonts w:ascii="SimSun" w:hAnsi="SimSun" w:eastAsia="SimSun" w:cs="SimSun"/>
                <w:color w:val="auto"/>
                <w:spacing w:val="5"/>
                <w:sz w:val="21"/>
                <w:szCs w:val="21"/>
              </w:rPr>
              <w:t xml:space="preserve"> </w:t>
            </w:r>
            <w:r>
              <w:rPr>
                <w:rFonts w:ascii="SimSun" w:hAnsi="SimSun" w:eastAsia="SimSun" w:cs="SimSun"/>
                <w:color w:val="auto"/>
                <w:sz w:val="21"/>
                <w:szCs w:val="21"/>
              </w:rPr>
              <w:t>生产企业未按规定保存生产销售</w:t>
            </w:r>
            <w:r>
              <w:rPr>
                <w:rFonts w:ascii="SimSun" w:hAnsi="SimSun" w:eastAsia="SimSun" w:cs="SimSun"/>
                <w:color w:val="auto"/>
                <w:spacing w:val="10"/>
                <w:sz w:val="21"/>
                <w:szCs w:val="21"/>
              </w:rPr>
              <w:t xml:space="preserve"> </w:t>
            </w:r>
            <w:r>
              <w:rPr>
                <w:rFonts w:ascii="SimSun" w:hAnsi="SimSun" w:eastAsia="SimSun" w:cs="SimSun"/>
                <w:color w:val="auto"/>
                <w:spacing w:val="1"/>
                <w:sz w:val="21"/>
                <w:szCs w:val="21"/>
              </w:rPr>
              <w:t>记录的行政检查</w:t>
            </w:r>
          </w:p>
        </w:tc>
        <w:tc>
          <w:tcPr>
            <w:tcW w:w="1778" w:type="dxa"/>
            <w:vAlign w:val="top"/>
          </w:tcPr>
          <w:p>
            <w:pPr>
              <w:spacing w:before="82" w:line="219" w:lineRule="auto"/>
              <w:ind w:left="255"/>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18" w:type="dxa"/>
            <w:vAlign w:val="top"/>
          </w:tcPr>
          <w:p>
            <w:pPr>
              <w:spacing w:before="81" w:line="219" w:lineRule="auto"/>
              <w:ind w:left="157"/>
              <w:rPr>
                <w:rFonts w:ascii="SimSun" w:hAnsi="SimSun" w:eastAsia="SimSun" w:cs="SimSun"/>
                <w:color w:val="auto"/>
                <w:sz w:val="21"/>
                <w:szCs w:val="21"/>
              </w:rPr>
            </w:pPr>
            <w:r>
              <w:rPr>
                <w:rFonts w:ascii="SimSun" w:hAnsi="SimSun" w:eastAsia="SimSun" w:cs="SimSun"/>
                <w:color w:val="auto"/>
                <w:spacing w:val="-2"/>
                <w:sz w:val="21"/>
                <w:szCs w:val="21"/>
              </w:rPr>
              <w:t>未被投诉、举报的企业</w:t>
            </w:r>
          </w:p>
        </w:tc>
        <w:tc>
          <w:tcPr>
            <w:tcW w:w="1754" w:type="dxa"/>
            <w:vAlign w:val="top"/>
          </w:tcPr>
          <w:p>
            <w:pPr>
              <w:spacing w:before="81"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双随机、一公开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874" w:type="dxa"/>
            <w:vMerge w:val="continue"/>
            <w:tcBorders>
              <w:top w:val="nil"/>
              <w:bottom w:val="nil"/>
            </w:tcBorders>
            <w:vAlign w:val="top"/>
          </w:tcPr>
          <w:p>
            <w:pPr>
              <w:pStyle w:val="25"/>
              <w:rPr>
                <w:color w:val="auto"/>
              </w:rPr>
            </w:pPr>
          </w:p>
        </w:tc>
        <w:tc>
          <w:tcPr>
            <w:tcW w:w="2348" w:type="dxa"/>
            <w:vMerge w:val="continue"/>
            <w:tcBorders>
              <w:top w:val="nil"/>
              <w:bottom w:val="nil"/>
            </w:tcBorders>
            <w:vAlign w:val="top"/>
          </w:tcPr>
          <w:p>
            <w:pPr>
              <w:pStyle w:val="25"/>
              <w:rPr>
                <w:color w:val="auto"/>
              </w:rPr>
            </w:pPr>
          </w:p>
        </w:tc>
        <w:tc>
          <w:tcPr>
            <w:tcW w:w="1459" w:type="dxa"/>
            <w:vMerge w:val="continue"/>
            <w:tcBorders>
              <w:top w:val="nil"/>
              <w:bottom w:val="nil"/>
            </w:tcBorders>
            <w:vAlign w:val="top"/>
          </w:tcPr>
          <w:p>
            <w:pPr>
              <w:pStyle w:val="25"/>
              <w:rPr>
                <w:color w:val="auto"/>
              </w:rPr>
            </w:pPr>
          </w:p>
        </w:tc>
        <w:tc>
          <w:tcPr>
            <w:tcW w:w="3178" w:type="dxa"/>
            <w:vMerge w:val="continue"/>
            <w:tcBorders>
              <w:top w:val="nil"/>
              <w:bottom w:val="nil"/>
            </w:tcBorders>
            <w:vAlign w:val="top"/>
          </w:tcPr>
          <w:p>
            <w:pPr>
              <w:pStyle w:val="25"/>
              <w:rPr>
                <w:color w:val="auto"/>
              </w:rPr>
            </w:pPr>
          </w:p>
        </w:tc>
        <w:tc>
          <w:tcPr>
            <w:tcW w:w="1778" w:type="dxa"/>
            <w:vAlign w:val="top"/>
          </w:tcPr>
          <w:p>
            <w:pPr>
              <w:spacing w:before="102" w:line="219" w:lineRule="auto"/>
              <w:ind w:left="255"/>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18" w:type="dxa"/>
            <w:vAlign w:val="top"/>
          </w:tcPr>
          <w:p>
            <w:pPr>
              <w:spacing w:before="101" w:line="219" w:lineRule="auto"/>
              <w:ind w:left="107"/>
              <w:rPr>
                <w:rFonts w:ascii="SimSun" w:hAnsi="SimSun" w:eastAsia="SimSun" w:cs="SimSun"/>
                <w:color w:val="auto"/>
                <w:sz w:val="21"/>
                <w:szCs w:val="21"/>
              </w:rPr>
            </w:pPr>
            <w:r>
              <w:rPr>
                <w:rFonts w:ascii="SimSun" w:hAnsi="SimSun" w:eastAsia="SimSun" w:cs="SimSun"/>
                <w:color w:val="auto"/>
                <w:spacing w:val="-1"/>
                <w:sz w:val="21"/>
                <w:szCs w:val="21"/>
              </w:rPr>
              <w:t>被投诉、举报的企业</w:t>
            </w:r>
          </w:p>
        </w:tc>
        <w:tc>
          <w:tcPr>
            <w:tcW w:w="1754" w:type="dxa"/>
            <w:vAlign w:val="top"/>
          </w:tcPr>
          <w:p>
            <w:pPr>
              <w:spacing w:before="102"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874" w:type="dxa"/>
            <w:vMerge w:val="continue"/>
            <w:tcBorders>
              <w:top w:val="nil"/>
              <w:bottom w:val="nil"/>
            </w:tcBorders>
            <w:vAlign w:val="top"/>
          </w:tcPr>
          <w:p>
            <w:pPr>
              <w:pStyle w:val="25"/>
              <w:rPr>
                <w:color w:val="auto"/>
              </w:rPr>
            </w:pPr>
          </w:p>
        </w:tc>
        <w:tc>
          <w:tcPr>
            <w:tcW w:w="2348" w:type="dxa"/>
            <w:vMerge w:val="continue"/>
            <w:tcBorders>
              <w:top w:val="nil"/>
              <w:bottom w:val="nil"/>
            </w:tcBorders>
            <w:vAlign w:val="top"/>
          </w:tcPr>
          <w:p>
            <w:pPr>
              <w:pStyle w:val="25"/>
              <w:rPr>
                <w:color w:val="auto"/>
              </w:rPr>
            </w:pPr>
          </w:p>
        </w:tc>
        <w:tc>
          <w:tcPr>
            <w:tcW w:w="1459" w:type="dxa"/>
            <w:vMerge w:val="continue"/>
            <w:tcBorders>
              <w:top w:val="nil"/>
              <w:bottom w:val="nil"/>
            </w:tcBorders>
            <w:vAlign w:val="top"/>
          </w:tcPr>
          <w:p>
            <w:pPr>
              <w:pStyle w:val="25"/>
              <w:rPr>
                <w:color w:val="auto"/>
              </w:rPr>
            </w:pPr>
          </w:p>
        </w:tc>
        <w:tc>
          <w:tcPr>
            <w:tcW w:w="3178" w:type="dxa"/>
            <w:vMerge w:val="continue"/>
            <w:tcBorders>
              <w:top w:val="nil"/>
            </w:tcBorders>
            <w:vAlign w:val="top"/>
          </w:tcPr>
          <w:p>
            <w:pPr>
              <w:pStyle w:val="25"/>
              <w:rPr>
                <w:color w:val="auto"/>
              </w:rPr>
            </w:pPr>
          </w:p>
        </w:tc>
        <w:tc>
          <w:tcPr>
            <w:tcW w:w="1778" w:type="dxa"/>
            <w:vAlign w:val="top"/>
          </w:tcPr>
          <w:p>
            <w:pPr>
              <w:pStyle w:val="25"/>
              <w:spacing w:line="283" w:lineRule="auto"/>
              <w:rPr>
                <w:color w:val="auto"/>
              </w:rPr>
            </w:pPr>
          </w:p>
          <w:p>
            <w:pPr>
              <w:spacing w:before="69" w:line="219" w:lineRule="auto"/>
              <w:ind w:left="255"/>
              <w:rPr>
                <w:rFonts w:ascii="SimSun" w:hAnsi="SimSun" w:eastAsia="SimSun" w:cs="SimSun"/>
                <w:color w:val="auto"/>
                <w:sz w:val="21"/>
                <w:szCs w:val="21"/>
              </w:rPr>
            </w:pPr>
            <w:r>
              <w:rPr>
                <w:rFonts w:ascii="SimSun" w:hAnsi="SimSun" w:eastAsia="SimSun" w:cs="SimSun"/>
                <w:color w:val="auto"/>
                <w:spacing w:val="-2"/>
                <w:sz w:val="21"/>
                <w:szCs w:val="21"/>
              </w:rPr>
              <w:t>重点检查对象</w:t>
            </w:r>
          </w:p>
        </w:tc>
        <w:tc>
          <w:tcPr>
            <w:tcW w:w="2418" w:type="dxa"/>
            <w:vAlign w:val="top"/>
          </w:tcPr>
          <w:p>
            <w:pPr>
              <w:spacing w:before="42" w:line="219" w:lineRule="auto"/>
              <w:ind w:left="47"/>
              <w:rPr>
                <w:rFonts w:ascii="SimSun" w:hAnsi="SimSun" w:eastAsia="SimSun" w:cs="SimSun"/>
                <w:color w:val="auto"/>
                <w:sz w:val="21"/>
                <w:szCs w:val="21"/>
              </w:rPr>
            </w:pPr>
            <w:r>
              <w:rPr>
                <w:rFonts w:ascii="SimSun" w:hAnsi="SimSun" w:eastAsia="SimSun" w:cs="SimSun"/>
                <w:color w:val="auto"/>
                <w:sz w:val="21"/>
                <w:szCs w:val="21"/>
              </w:rPr>
              <w:t>多次被投诉、举报或社会</w:t>
            </w:r>
          </w:p>
          <w:p>
            <w:pPr>
              <w:spacing w:before="62" w:line="219" w:lineRule="auto"/>
              <w:ind w:left="157"/>
              <w:rPr>
                <w:rFonts w:ascii="SimSun" w:hAnsi="SimSun" w:eastAsia="SimSun" w:cs="SimSun"/>
                <w:color w:val="auto"/>
                <w:sz w:val="21"/>
                <w:szCs w:val="21"/>
              </w:rPr>
            </w:pPr>
            <w:r>
              <w:rPr>
                <w:rFonts w:ascii="SimSun" w:hAnsi="SimSun" w:eastAsia="SimSun" w:cs="SimSun"/>
                <w:color w:val="auto"/>
                <w:spacing w:val="-1"/>
                <w:sz w:val="21"/>
                <w:szCs w:val="21"/>
              </w:rPr>
              <w:t>影响恶劣以及其他监管</w:t>
            </w:r>
          </w:p>
          <w:p>
            <w:pPr>
              <w:spacing w:before="50" w:line="207" w:lineRule="auto"/>
              <w:ind w:left="117"/>
              <w:rPr>
                <w:rFonts w:ascii="SimSun" w:hAnsi="SimSun" w:eastAsia="SimSun" w:cs="SimSun"/>
                <w:color w:val="auto"/>
                <w:sz w:val="21"/>
                <w:szCs w:val="21"/>
              </w:rPr>
            </w:pPr>
            <w:r>
              <w:rPr>
                <w:rFonts w:ascii="SimSun" w:hAnsi="SimSun" w:eastAsia="SimSun" w:cs="SimSun"/>
                <w:color w:val="auto"/>
                <w:spacing w:val="-2"/>
                <w:sz w:val="21"/>
                <w:szCs w:val="21"/>
              </w:rPr>
              <w:t>部门移交的企业</w:t>
            </w:r>
          </w:p>
        </w:tc>
        <w:tc>
          <w:tcPr>
            <w:tcW w:w="1754" w:type="dxa"/>
            <w:vAlign w:val="top"/>
          </w:tcPr>
          <w:p>
            <w:pPr>
              <w:pStyle w:val="25"/>
              <w:spacing w:line="283" w:lineRule="auto"/>
              <w:rPr>
                <w:color w:val="auto"/>
              </w:rPr>
            </w:pPr>
          </w:p>
          <w:p>
            <w:pPr>
              <w:spacing w:before="69"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874" w:type="dxa"/>
            <w:vMerge w:val="continue"/>
            <w:tcBorders>
              <w:top w:val="nil"/>
              <w:bottom w:val="nil"/>
            </w:tcBorders>
            <w:vAlign w:val="top"/>
          </w:tcPr>
          <w:p>
            <w:pPr>
              <w:pStyle w:val="25"/>
              <w:rPr>
                <w:color w:val="auto"/>
              </w:rPr>
            </w:pPr>
          </w:p>
        </w:tc>
        <w:tc>
          <w:tcPr>
            <w:tcW w:w="2348" w:type="dxa"/>
            <w:vMerge w:val="continue"/>
            <w:tcBorders>
              <w:top w:val="nil"/>
              <w:bottom w:val="nil"/>
            </w:tcBorders>
            <w:vAlign w:val="top"/>
          </w:tcPr>
          <w:p>
            <w:pPr>
              <w:pStyle w:val="25"/>
              <w:rPr>
                <w:color w:val="auto"/>
              </w:rPr>
            </w:pPr>
          </w:p>
        </w:tc>
        <w:tc>
          <w:tcPr>
            <w:tcW w:w="1459" w:type="dxa"/>
            <w:vMerge w:val="continue"/>
            <w:tcBorders>
              <w:top w:val="nil"/>
              <w:bottom w:val="nil"/>
            </w:tcBorders>
            <w:vAlign w:val="top"/>
          </w:tcPr>
          <w:p>
            <w:pPr>
              <w:pStyle w:val="25"/>
              <w:rPr>
                <w:color w:val="auto"/>
              </w:rPr>
            </w:pPr>
          </w:p>
        </w:tc>
        <w:tc>
          <w:tcPr>
            <w:tcW w:w="3178" w:type="dxa"/>
            <w:vMerge w:val="restart"/>
            <w:tcBorders>
              <w:bottom w:val="nil"/>
            </w:tcBorders>
            <w:vAlign w:val="top"/>
          </w:tcPr>
          <w:p>
            <w:pPr>
              <w:pStyle w:val="25"/>
              <w:spacing w:line="251" w:lineRule="auto"/>
              <w:rPr>
                <w:color w:val="auto"/>
              </w:rPr>
            </w:pPr>
          </w:p>
          <w:p>
            <w:pPr>
              <w:pStyle w:val="25"/>
              <w:spacing w:line="251" w:lineRule="auto"/>
              <w:rPr>
                <w:color w:val="auto"/>
              </w:rPr>
            </w:pPr>
          </w:p>
          <w:p>
            <w:pPr>
              <w:spacing w:before="68" w:line="250" w:lineRule="auto"/>
              <w:ind w:left="103" w:right="121" w:firstLine="9"/>
              <w:rPr>
                <w:rFonts w:ascii="SimSun" w:hAnsi="SimSun" w:eastAsia="SimSun" w:cs="SimSun"/>
                <w:color w:val="auto"/>
                <w:sz w:val="21"/>
                <w:szCs w:val="21"/>
              </w:rPr>
            </w:pPr>
            <w:r>
              <w:rPr>
                <w:rFonts w:ascii="SimSun" w:hAnsi="SimSun" w:eastAsia="SimSun" w:cs="SimSun"/>
                <w:color w:val="auto"/>
                <w:spacing w:val="-1"/>
                <w:sz w:val="21"/>
                <w:szCs w:val="21"/>
              </w:rPr>
              <w:t>对食盐定点批发企业未按规定保</w:t>
            </w:r>
            <w:r>
              <w:rPr>
                <w:rFonts w:ascii="SimSun" w:hAnsi="SimSun" w:eastAsia="SimSun" w:cs="SimSun"/>
                <w:color w:val="auto"/>
                <w:spacing w:val="5"/>
                <w:sz w:val="21"/>
                <w:szCs w:val="21"/>
              </w:rPr>
              <w:t xml:space="preserve"> </w:t>
            </w:r>
            <w:r>
              <w:rPr>
                <w:rFonts w:ascii="SimSun" w:hAnsi="SimSun" w:eastAsia="SimSun" w:cs="SimSun"/>
                <w:color w:val="auto"/>
                <w:spacing w:val="-1"/>
                <w:sz w:val="21"/>
                <w:szCs w:val="21"/>
              </w:rPr>
              <w:t>存采购销售记录的行政检查</w:t>
            </w:r>
          </w:p>
        </w:tc>
        <w:tc>
          <w:tcPr>
            <w:tcW w:w="1778" w:type="dxa"/>
            <w:vAlign w:val="top"/>
          </w:tcPr>
          <w:p>
            <w:pPr>
              <w:spacing w:before="54" w:line="207" w:lineRule="auto"/>
              <w:ind w:left="255"/>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18" w:type="dxa"/>
            <w:vAlign w:val="top"/>
          </w:tcPr>
          <w:p>
            <w:pPr>
              <w:spacing w:before="53" w:line="208" w:lineRule="auto"/>
              <w:ind w:left="157"/>
              <w:rPr>
                <w:rFonts w:ascii="SimSun" w:hAnsi="SimSun" w:eastAsia="SimSun" w:cs="SimSun"/>
                <w:color w:val="auto"/>
                <w:sz w:val="21"/>
                <w:szCs w:val="21"/>
              </w:rPr>
            </w:pPr>
            <w:r>
              <w:rPr>
                <w:rFonts w:ascii="SimSun" w:hAnsi="SimSun" w:eastAsia="SimSun" w:cs="SimSun"/>
                <w:color w:val="auto"/>
                <w:spacing w:val="-2"/>
                <w:sz w:val="21"/>
                <w:szCs w:val="21"/>
              </w:rPr>
              <w:t>未被投诉、举报的企业</w:t>
            </w:r>
          </w:p>
        </w:tc>
        <w:tc>
          <w:tcPr>
            <w:tcW w:w="1754" w:type="dxa"/>
            <w:vAlign w:val="top"/>
          </w:tcPr>
          <w:p>
            <w:pPr>
              <w:spacing w:before="53" w:line="208" w:lineRule="auto"/>
              <w:ind w:left="129"/>
              <w:rPr>
                <w:rFonts w:ascii="SimSun" w:hAnsi="SimSun" w:eastAsia="SimSun" w:cs="SimSun"/>
                <w:color w:val="auto"/>
                <w:sz w:val="21"/>
                <w:szCs w:val="21"/>
              </w:rPr>
            </w:pPr>
            <w:r>
              <w:rPr>
                <w:rFonts w:ascii="SimSun" w:hAnsi="SimSun" w:eastAsia="SimSun" w:cs="SimSun"/>
                <w:color w:val="auto"/>
                <w:spacing w:val="-2"/>
                <w:sz w:val="21"/>
                <w:szCs w:val="21"/>
              </w:rPr>
              <w:t>双随机、一公开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874" w:type="dxa"/>
            <w:vMerge w:val="continue"/>
            <w:tcBorders>
              <w:top w:val="nil"/>
              <w:bottom w:val="nil"/>
            </w:tcBorders>
            <w:vAlign w:val="top"/>
          </w:tcPr>
          <w:p>
            <w:pPr>
              <w:pStyle w:val="25"/>
              <w:rPr>
                <w:color w:val="auto"/>
              </w:rPr>
            </w:pPr>
          </w:p>
        </w:tc>
        <w:tc>
          <w:tcPr>
            <w:tcW w:w="2348" w:type="dxa"/>
            <w:vMerge w:val="continue"/>
            <w:tcBorders>
              <w:top w:val="nil"/>
              <w:bottom w:val="nil"/>
            </w:tcBorders>
            <w:vAlign w:val="top"/>
          </w:tcPr>
          <w:p>
            <w:pPr>
              <w:pStyle w:val="25"/>
              <w:rPr>
                <w:color w:val="auto"/>
              </w:rPr>
            </w:pPr>
          </w:p>
        </w:tc>
        <w:tc>
          <w:tcPr>
            <w:tcW w:w="1459" w:type="dxa"/>
            <w:vMerge w:val="continue"/>
            <w:tcBorders>
              <w:top w:val="nil"/>
              <w:bottom w:val="nil"/>
            </w:tcBorders>
            <w:vAlign w:val="top"/>
          </w:tcPr>
          <w:p>
            <w:pPr>
              <w:pStyle w:val="25"/>
              <w:rPr>
                <w:color w:val="auto"/>
              </w:rPr>
            </w:pPr>
          </w:p>
        </w:tc>
        <w:tc>
          <w:tcPr>
            <w:tcW w:w="3178" w:type="dxa"/>
            <w:vMerge w:val="continue"/>
            <w:tcBorders>
              <w:top w:val="nil"/>
              <w:bottom w:val="nil"/>
            </w:tcBorders>
            <w:vAlign w:val="top"/>
          </w:tcPr>
          <w:p>
            <w:pPr>
              <w:pStyle w:val="25"/>
              <w:rPr>
                <w:color w:val="auto"/>
              </w:rPr>
            </w:pPr>
          </w:p>
        </w:tc>
        <w:tc>
          <w:tcPr>
            <w:tcW w:w="1778" w:type="dxa"/>
            <w:vAlign w:val="top"/>
          </w:tcPr>
          <w:p>
            <w:pPr>
              <w:spacing w:before="114" w:line="219" w:lineRule="auto"/>
              <w:ind w:left="255"/>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18" w:type="dxa"/>
            <w:vAlign w:val="top"/>
          </w:tcPr>
          <w:p>
            <w:pPr>
              <w:spacing w:before="113" w:line="219" w:lineRule="auto"/>
              <w:ind w:left="107"/>
              <w:rPr>
                <w:rFonts w:ascii="SimSun" w:hAnsi="SimSun" w:eastAsia="SimSun" w:cs="SimSun"/>
                <w:color w:val="auto"/>
                <w:sz w:val="21"/>
                <w:szCs w:val="21"/>
              </w:rPr>
            </w:pPr>
            <w:r>
              <w:rPr>
                <w:rFonts w:ascii="SimSun" w:hAnsi="SimSun" w:eastAsia="SimSun" w:cs="SimSun"/>
                <w:color w:val="auto"/>
                <w:spacing w:val="-1"/>
                <w:sz w:val="21"/>
                <w:szCs w:val="21"/>
              </w:rPr>
              <w:t>被投诉、举报的企业</w:t>
            </w:r>
          </w:p>
        </w:tc>
        <w:tc>
          <w:tcPr>
            <w:tcW w:w="1754" w:type="dxa"/>
            <w:vAlign w:val="top"/>
          </w:tcPr>
          <w:p>
            <w:pPr>
              <w:spacing w:before="114"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trPr>
        <w:tc>
          <w:tcPr>
            <w:tcW w:w="874" w:type="dxa"/>
            <w:vMerge w:val="continue"/>
            <w:tcBorders>
              <w:top w:val="nil"/>
              <w:bottom w:val="nil"/>
            </w:tcBorders>
            <w:vAlign w:val="top"/>
          </w:tcPr>
          <w:p>
            <w:pPr>
              <w:pStyle w:val="25"/>
              <w:rPr>
                <w:color w:val="auto"/>
              </w:rPr>
            </w:pPr>
          </w:p>
        </w:tc>
        <w:tc>
          <w:tcPr>
            <w:tcW w:w="2348" w:type="dxa"/>
            <w:vMerge w:val="continue"/>
            <w:tcBorders>
              <w:top w:val="nil"/>
              <w:bottom w:val="nil"/>
            </w:tcBorders>
            <w:vAlign w:val="top"/>
          </w:tcPr>
          <w:p>
            <w:pPr>
              <w:pStyle w:val="25"/>
              <w:rPr>
                <w:color w:val="auto"/>
              </w:rPr>
            </w:pPr>
          </w:p>
        </w:tc>
        <w:tc>
          <w:tcPr>
            <w:tcW w:w="1459" w:type="dxa"/>
            <w:vMerge w:val="continue"/>
            <w:tcBorders>
              <w:top w:val="nil"/>
              <w:bottom w:val="nil"/>
            </w:tcBorders>
            <w:vAlign w:val="top"/>
          </w:tcPr>
          <w:p>
            <w:pPr>
              <w:pStyle w:val="25"/>
              <w:rPr>
                <w:color w:val="auto"/>
              </w:rPr>
            </w:pPr>
          </w:p>
        </w:tc>
        <w:tc>
          <w:tcPr>
            <w:tcW w:w="3178" w:type="dxa"/>
            <w:vMerge w:val="continue"/>
            <w:tcBorders>
              <w:top w:val="nil"/>
            </w:tcBorders>
            <w:vAlign w:val="top"/>
          </w:tcPr>
          <w:p>
            <w:pPr>
              <w:pStyle w:val="25"/>
              <w:rPr>
                <w:color w:val="auto"/>
              </w:rPr>
            </w:pPr>
          </w:p>
        </w:tc>
        <w:tc>
          <w:tcPr>
            <w:tcW w:w="1778" w:type="dxa"/>
            <w:vAlign w:val="top"/>
          </w:tcPr>
          <w:p>
            <w:pPr>
              <w:pStyle w:val="25"/>
              <w:spacing w:line="285" w:lineRule="auto"/>
              <w:rPr>
                <w:color w:val="auto"/>
              </w:rPr>
            </w:pPr>
          </w:p>
          <w:p>
            <w:pPr>
              <w:spacing w:before="69" w:line="219" w:lineRule="auto"/>
              <w:ind w:left="255"/>
              <w:rPr>
                <w:rFonts w:ascii="SimSun" w:hAnsi="SimSun" w:eastAsia="SimSun" w:cs="SimSun"/>
                <w:color w:val="auto"/>
                <w:sz w:val="21"/>
                <w:szCs w:val="21"/>
              </w:rPr>
            </w:pPr>
            <w:r>
              <w:rPr>
                <w:rFonts w:ascii="SimSun" w:hAnsi="SimSun" w:eastAsia="SimSun" w:cs="SimSun"/>
                <w:color w:val="auto"/>
                <w:spacing w:val="-2"/>
                <w:sz w:val="21"/>
                <w:szCs w:val="21"/>
              </w:rPr>
              <w:t>重点检查对象</w:t>
            </w:r>
          </w:p>
        </w:tc>
        <w:tc>
          <w:tcPr>
            <w:tcW w:w="2418" w:type="dxa"/>
            <w:vAlign w:val="top"/>
          </w:tcPr>
          <w:p>
            <w:pPr>
              <w:spacing w:before="34" w:line="219" w:lineRule="auto"/>
              <w:ind w:left="47"/>
              <w:rPr>
                <w:rFonts w:ascii="SimSun" w:hAnsi="SimSun" w:eastAsia="SimSun" w:cs="SimSun"/>
                <w:color w:val="auto"/>
                <w:sz w:val="21"/>
                <w:szCs w:val="21"/>
              </w:rPr>
            </w:pPr>
            <w:r>
              <w:rPr>
                <w:rFonts w:ascii="SimSun" w:hAnsi="SimSun" w:eastAsia="SimSun" w:cs="SimSun"/>
                <w:color w:val="auto"/>
                <w:sz w:val="21"/>
                <w:szCs w:val="21"/>
              </w:rPr>
              <w:t>多次被投诉、举报或社会</w:t>
            </w:r>
          </w:p>
          <w:p>
            <w:pPr>
              <w:spacing w:before="92" w:line="219" w:lineRule="auto"/>
              <w:ind w:left="157"/>
              <w:rPr>
                <w:rFonts w:ascii="SimSun" w:hAnsi="SimSun" w:eastAsia="SimSun" w:cs="SimSun"/>
                <w:color w:val="auto"/>
                <w:sz w:val="21"/>
                <w:szCs w:val="21"/>
              </w:rPr>
            </w:pPr>
            <w:r>
              <w:rPr>
                <w:rFonts w:ascii="SimSun" w:hAnsi="SimSun" w:eastAsia="SimSun" w:cs="SimSun"/>
                <w:color w:val="auto"/>
                <w:spacing w:val="-1"/>
                <w:sz w:val="21"/>
                <w:szCs w:val="21"/>
              </w:rPr>
              <w:t>影响恶劣以及其他监管</w:t>
            </w:r>
          </w:p>
          <w:p>
            <w:pPr>
              <w:spacing w:before="40" w:line="205" w:lineRule="auto"/>
              <w:ind w:left="107"/>
              <w:rPr>
                <w:rFonts w:ascii="SimSun" w:hAnsi="SimSun" w:eastAsia="SimSun" w:cs="SimSun"/>
                <w:color w:val="auto"/>
                <w:sz w:val="21"/>
                <w:szCs w:val="21"/>
              </w:rPr>
            </w:pPr>
            <w:r>
              <w:rPr>
                <w:rFonts w:ascii="SimSun" w:hAnsi="SimSun" w:eastAsia="SimSun" w:cs="SimSun"/>
                <w:color w:val="auto"/>
                <w:spacing w:val="-2"/>
                <w:sz w:val="21"/>
                <w:szCs w:val="21"/>
              </w:rPr>
              <w:t>部门移交的企业</w:t>
            </w:r>
          </w:p>
        </w:tc>
        <w:tc>
          <w:tcPr>
            <w:tcW w:w="1754" w:type="dxa"/>
            <w:vAlign w:val="top"/>
          </w:tcPr>
          <w:p>
            <w:pPr>
              <w:pStyle w:val="25"/>
              <w:spacing w:line="285" w:lineRule="auto"/>
              <w:rPr>
                <w:color w:val="auto"/>
              </w:rPr>
            </w:pPr>
          </w:p>
          <w:p>
            <w:pPr>
              <w:spacing w:before="69"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874" w:type="dxa"/>
            <w:vMerge w:val="continue"/>
            <w:tcBorders>
              <w:top w:val="nil"/>
              <w:bottom w:val="nil"/>
            </w:tcBorders>
            <w:vAlign w:val="top"/>
          </w:tcPr>
          <w:p>
            <w:pPr>
              <w:pStyle w:val="25"/>
              <w:rPr>
                <w:color w:val="auto"/>
              </w:rPr>
            </w:pPr>
          </w:p>
        </w:tc>
        <w:tc>
          <w:tcPr>
            <w:tcW w:w="2348" w:type="dxa"/>
            <w:vMerge w:val="continue"/>
            <w:tcBorders>
              <w:top w:val="nil"/>
              <w:bottom w:val="nil"/>
            </w:tcBorders>
            <w:vAlign w:val="top"/>
          </w:tcPr>
          <w:p>
            <w:pPr>
              <w:pStyle w:val="25"/>
              <w:rPr>
                <w:color w:val="auto"/>
              </w:rPr>
            </w:pPr>
          </w:p>
        </w:tc>
        <w:tc>
          <w:tcPr>
            <w:tcW w:w="1459" w:type="dxa"/>
            <w:vMerge w:val="continue"/>
            <w:tcBorders>
              <w:top w:val="nil"/>
              <w:bottom w:val="nil"/>
            </w:tcBorders>
            <w:vAlign w:val="top"/>
          </w:tcPr>
          <w:p>
            <w:pPr>
              <w:pStyle w:val="25"/>
              <w:rPr>
                <w:color w:val="auto"/>
              </w:rPr>
            </w:pPr>
          </w:p>
        </w:tc>
        <w:tc>
          <w:tcPr>
            <w:tcW w:w="3178" w:type="dxa"/>
            <w:vMerge w:val="restart"/>
            <w:tcBorders>
              <w:bottom w:val="nil"/>
            </w:tcBorders>
            <w:vAlign w:val="top"/>
          </w:tcPr>
          <w:p>
            <w:pPr>
              <w:spacing w:before="276" w:line="259" w:lineRule="auto"/>
              <w:ind w:left="122" w:right="121" w:hanging="9"/>
              <w:rPr>
                <w:rFonts w:ascii="SimSun" w:hAnsi="SimSun" w:eastAsia="SimSun" w:cs="SimSun"/>
                <w:color w:val="auto"/>
                <w:sz w:val="21"/>
                <w:szCs w:val="21"/>
              </w:rPr>
            </w:pPr>
            <w:r>
              <w:rPr>
                <w:rFonts w:ascii="SimSun" w:hAnsi="SimSun" w:eastAsia="SimSun" w:cs="SimSun"/>
                <w:color w:val="auto"/>
                <w:spacing w:val="-1"/>
                <w:sz w:val="21"/>
                <w:szCs w:val="21"/>
              </w:rPr>
              <w:t>对食盐定点批发企业超出规定范</w:t>
            </w:r>
            <w:r>
              <w:rPr>
                <w:rFonts w:ascii="SimSun" w:hAnsi="SimSun" w:eastAsia="SimSun" w:cs="SimSun"/>
                <w:color w:val="auto"/>
                <w:spacing w:val="5"/>
                <w:sz w:val="21"/>
                <w:szCs w:val="21"/>
              </w:rPr>
              <w:t xml:space="preserve"> </w:t>
            </w:r>
            <w:r>
              <w:rPr>
                <w:rFonts w:ascii="SimSun" w:hAnsi="SimSun" w:eastAsia="SimSun" w:cs="SimSun"/>
                <w:color w:val="auto"/>
                <w:spacing w:val="1"/>
                <w:sz w:val="21"/>
                <w:szCs w:val="21"/>
              </w:rPr>
              <w:t>围销售的行政检查</w:t>
            </w:r>
          </w:p>
        </w:tc>
        <w:tc>
          <w:tcPr>
            <w:tcW w:w="1778" w:type="dxa"/>
            <w:vAlign w:val="top"/>
          </w:tcPr>
          <w:p>
            <w:pPr>
              <w:spacing w:before="156" w:line="219" w:lineRule="auto"/>
              <w:ind w:left="255"/>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18" w:type="dxa"/>
            <w:vAlign w:val="top"/>
          </w:tcPr>
          <w:p>
            <w:pPr>
              <w:spacing w:before="155" w:line="219" w:lineRule="auto"/>
              <w:ind w:left="157"/>
              <w:rPr>
                <w:rFonts w:ascii="SimSun" w:hAnsi="SimSun" w:eastAsia="SimSun" w:cs="SimSun"/>
                <w:color w:val="auto"/>
                <w:sz w:val="21"/>
                <w:szCs w:val="21"/>
              </w:rPr>
            </w:pPr>
            <w:r>
              <w:rPr>
                <w:rFonts w:ascii="SimSun" w:hAnsi="SimSun" w:eastAsia="SimSun" w:cs="SimSun"/>
                <w:color w:val="auto"/>
                <w:spacing w:val="-2"/>
                <w:sz w:val="21"/>
                <w:szCs w:val="21"/>
              </w:rPr>
              <w:t>未被投诉、举报的企业</w:t>
            </w:r>
          </w:p>
        </w:tc>
        <w:tc>
          <w:tcPr>
            <w:tcW w:w="1754" w:type="dxa"/>
            <w:vAlign w:val="top"/>
          </w:tcPr>
          <w:p>
            <w:pPr>
              <w:spacing w:before="155"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双随机、一公开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874" w:type="dxa"/>
            <w:vMerge w:val="continue"/>
            <w:tcBorders>
              <w:top w:val="nil"/>
            </w:tcBorders>
            <w:vAlign w:val="top"/>
          </w:tcPr>
          <w:p>
            <w:pPr>
              <w:pStyle w:val="25"/>
              <w:rPr>
                <w:color w:val="auto"/>
              </w:rPr>
            </w:pPr>
          </w:p>
        </w:tc>
        <w:tc>
          <w:tcPr>
            <w:tcW w:w="2348" w:type="dxa"/>
            <w:vMerge w:val="continue"/>
            <w:tcBorders>
              <w:top w:val="nil"/>
            </w:tcBorders>
            <w:vAlign w:val="top"/>
          </w:tcPr>
          <w:p>
            <w:pPr>
              <w:pStyle w:val="25"/>
              <w:rPr>
                <w:color w:val="auto"/>
              </w:rPr>
            </w:pPr>
          </w:p>
        </w:tc>
        <w:tc>
          <w:tcPr>
            <w:tcW w:w="1459" w:type="dxa"/>
            <w:vMerge w:val="continue"/>
            <w:tcBorders>
              <w:top w:val="nil"/>
            </w:tcBorders>
            <w:vAlign w:val="top"/>
          </w:tcPr>
          <w:p>
            <w:pPr>
              <w:pStyle w:val="25"/>
              <w:rPr>
                <w:color w:val="auto"/>
              </w:rPr>
            </w:pPr>
          </w:p>
        </w:tc>
        <w:tc>
          <w:tcPr>
            <w:tcW w:w="3178" w:type="dxa"/>
            <w:vMerge w:val="continue"/>
            <w:tcBorders>
              <w:top w:val="nil"/>
            </w:tcBorders>
            <w:vAlign w:val="top"/>
          </w:tcPr>
          <w:p>
            <w:pPr>
              <w:pStyle w:val="25"/>
              <w:rPr>
                <w:color w:val="auto"/>
              </w:rPr>
            </w:pPr>
          </w:p>
        </w:tc>
        <w:tc>
          <w:tcPr>
            <w:tcW w:w="1778" w:type="dxa"/>
            <w:vAlign w:val="top"/>
          </w:tcPr>
          <w:p>
            <w:pPr>
              <w:spacing w:before="167" w:line="219" w:lineRule="auto"/>
              <w:ind w:left="255"/>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18" w:type="dxa"/>
            <w:vAlign w:val="top"/>
          </w:tcPr>
          <w:p>
            <w:pPr>
              <w:spacing w:before="166" w:line="219" w:lineRule="auto"/>
              <w:ind w:left="117"/>
              <w:rPr>
                <w:rFonts w:ascii="SimSun" w:hAnsi="SimSun" w:eastAsia="SimSun" w:cs="SimSun"/>
                <w:color w:val="auto"/>
                <w:sz w:val="21"/>
                <w:szCs w:val="21"/>
              </w:rPr>
            </w:pPr>
            <w:r>
              <w:rPr>
                <w:rFonts w:ascii="SimSun" w:hAnsi="SimSun" w:eastAsia="SimSun" w:cs="SimSun"/>
                <w:color w:val="auto"/>
                <w:spacing w:val="-1"/>
                <w:sz w:val="21"/>
                <w:szCs w:val="21"/>
              </w:rPr>
              <w:t>被投诉、举报的企业</w:t>
            </w:r>
          </w:p>
        </w:tc>
        <w:tc>
          <w:tcPr>
            <w:tcW w:w="1754" w:type="dxa"/>
            <w:vAlign w:val="top"/>
          </w:tcPr>
          <w:p>
            <w:pPr>
              <w:spacing w:before="167"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bl>
    <w:p>
      <w:pPr>
        <w:spacing w:before="231"/>
        <w:rPr>
          <w:color w:val="auto"/>
        </w:rPr>
      </w:pPr>
    </w:p>
    <w:tbl>
      <w:tblPr>
        <w:tblStyle w:val="24"/>
        <w:tblW w:w="138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4"/>
        <w:gridCol w:w="2358"/>
        <w:gridCol w:w="1449"/>
        <w:gridCol w:w="3188"/>
        <w:gridCol w:w="1769"/>
        <w:gridCol w:w="2428"/>
        <w:gridCol w:w="17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864" w:type="dxa"/>
            <w:vAlign w:val="top"/>
          </w:tcPr>
          <w:p>
            <w:pPr>
              <w:spacing w:before="211" w:line="221" w:lineRule="auto"/>
              <w:ind w:left="218"/>
              <w:rPr>
                <w:rFonts w:ascii="SimSun" w:hAnsi="SimSun" w:eastAsia="SimSun" w:cs="SimSun"/>
                <w:color w:val="auto"/>
                <w:sz w:val="21"/>
                <w:szCs w:val="21"/>
              </w:rPr>
            </w:pPr>
            <w:r>
              <w:rPr>
                <w:rFonts w:ascii="SimSun" w:hAnsi="SimSun" w:eastAsia="SimSun" w:cs="SimSun"/>
                <w:b/>
                <w:bCs/>
                <w:color w:val="auto"/>
                <w:spacing w:val="-5"/>
                <w:sz w:val="21"/>
                <w:szCs w:val="21"/>
              </w:rPr>
              <w:t>序号</w:t>
            </w:r>
          </w:p>
        </w:tc>
        <w:tc>
          <w:tcPr>
            <w:tcW w:w="2358" w:type="dxa"/>
            <w:vAlign w:val="top"/>
          </w:tcPr>
          <w:p>
            <w:pPr>
              <w:spacing w:before="210" w:line="219" w:lineRule="auto"/>
              <w:ind w:left="544"/>
              <w:rPr>
                <w:rFonts w:ascii="SimSun" w:hAnsi="SimSun" w:eastAsia="SimSun" w:cs="SimSun"/>
                <w:color w:val="auto"/>
                <w:sz w:val="21"/>
                <w:szCs w:val="21"/>
              </w:rPr>
            </w:pPr>
            <w:r>
              <w:rPr>
                <w:rFonts w:ascii="SimSun" w:hAnsi="SimSun" w:eastAsia="SimSun" w:cs="SimSun"/>
                <w:b/>
                <w:bCs/>
                <w:color w:val="auto"/>
                <w:spacing w:val="-4"/>
                <w:sz w:val="21"/>
                <w:szCs w:val="21"/>
              </w:rPr>
              <w:t>检查事项名称</w:t>
            </w:r>
          </w:p>
        </w:tc>
        <w:tc>
          <w:tcPr>
            <w:tcW w:w="4637" w:type="dxa"/>
            <w:gridSpan w:val="2"/>
            <w:vAlign w:val="top"/>
          </w:tcPr>
          <w:p>
            <w:pPr>
              <w:spacing w:before="210" w:line="219" w:lineRule="auto"/>
              <w:ind w:left="1596"/>
              <w:rPr>
                <w:rFonts w:ascii="SimSun" w:hAnsi="SimSun" w:eastAsia="SimSun" w:cs="SimSun"/>
                <w:color w:val="auto"/>
                <w:sz w:val="21"/>
                <w:szCs w:val="21"/>
              </w:rPr>
            </w:pPr>
            <w:r>
              <w:rPr>
                <w:rFonts w:ascii="SimSun" w:hAnsi="SimSun" w:eastAsia="SimSun" w:cs="SimSun"/>
                <w:b/>
                <w:bCs/>
                <w:color w:val="auto"/>
                <w:spacing w:val="-4"/>
                <w:sz w:val="21"/>
                <w:szCs w:val="21"/>
              </w:rPr>
              <w:t>检查事项划分</w:t>
            </w:r>
          </w:p>
        </w:tc>
        <w:tc>
          <w:tcPr>
            <w:tcW w:w="4197" w:type="dxa"/>
            <w:gridSpan w:val="2"/>
            <w:vAlign w:val="top"/>
          </w:tcPr>
          <w:p>
            <w:pPr>
              <w:spacing w:before="210" w:line="219" w:lineRule="auto"/>
              <w:ind w:left="1619"/>
              <w:rPr>
                <w:rFonts w:ascii="SimSun" w:hAnsi="SimSun" w:eastAsia="SimSun" w:cs="SimSun"/>
                <w:color w:val="auto"/>
                <w:sz w:val="21"/>
                <w:szCs w:val="21"/>
              </w:rPr>
            </w:pPr>
            <w:r>
              <w:rPr>
                <w:rFonts w:ascii="SimSun" w:hAnsi="SimSun" w:eastAsia="SimSun" w:cs="SimSun"/>
                <w:b/>
                <w:bCs/>
                <w:color w:val="auto"/>
                <w:spacing w:val="41"/>
                <w:sz w:val="21"/>
                <w:szCs w:val="21"/>
              </w:rPr>
              <w:t>对象划分</w:t>
            </w:r>
          </w:p>
        </w:tc>
        <w:tc>
          <w:tcPr>
            <w:tcW w:w="1753" w:type="dxa"/>
            <w:vAlign w:val="top"/>
          </w:tcPr>
          <w:p>
            <w:pPr>
              <w:spacing w:before="210" w:line="219" w:lineRule="auto"/>
              <w:ind w:left="402"/>
              <w:rPr>
                <w:rFonts w:ascii="SimSun" w:hAnsi="SimSun" w:eastAsia="SimSun" w:cs="SimSun"/>
                <w:color w:val="auto"/>
                <w:sz w:val="21"/>
                <w:szCs w:val="21"/>
              </w:rPr>
            </w:pPr>
            <w:r>
              <w:rPr>
                <w:rFonts w:ascii="SimSun" w:hAnsi="SimSun" w:eastAsia="SimSun" w:cs="SimSun"/>
                <w:b/>
                <w:bCs/>
                <w:color w:val="auto"/>
                <w:spacing w:val="-4"/>
                <w:sz w:val="21"/>
                <w:szCs w:val="21"/>
              </w:rPr>
              <w:t>监管方式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trPr>
        <w:tc>
          <w:tcPr>
            <w:tcW w:w="864" w:type="dxa"/>
            <w:vMerge w:val="restart"/>
            <w:tcBorders>
              <w:bottom w:val="nil"/>
            </w:tcBorders>
            <w:vAlign w:val="top"/>
          </w:tcPr>
          <w:p>
            <w:pPr>
              <w:pStyle w:val="25"/>
              <w:rPr>
                <w:color w:val="auto"/>
              </w:rPr>
            </w:pPr>
          </w:p>
          <w:p>
            <w:pPr>
              <w:pStyle w:val="25"/>
              <w:rPr>
                <w:color w:val="auto"/>
              </w:rPr>
            </w:pPr>
          </w:p>
          <w:p>
            <w:pPr>
              <w:pStyle w:val="25"/>
              <w:rPr>
                <w:color w:val="auto"/>
              </w:rPr>
            </w:pPr>
          </w:p>
          <w:p>
            <w:pPr>
              <w:pStyle w:val="25"/>
              <w:rPr>
                <w:color w:val="auto"/>
              </w:rPr>
            </w:pPr>
          </w:p>
          <w:p>
            <w:pPr>
              <w:pStyle w:val="25"/>
              <w:rPr>
                <w:color w:val="auto"/>
              </w:rPr>
            </w:pPr>
          </w:p>
          <w:p>
            <w:pPr>
              <w:pStyle w:val="25"/>
              <w:spacing w:line="241" w:lineRule="auto"/>
              <w:rPr>
                <w:color w:val="auto"/>
              </w:rPr>
            </w:pPr>
          </w:p>
          <w:p>
            <w:pPr>
              <w:pStyle w:val="25"/>
              <w:spacing w:line="241" w:lineRule="auto"/>
              <w:rPr>
                <w:color w:val="auto"/>
              </w:rPr>
            </w:pPr>
          </w:p>
          <w:p>
            <w:pPr>
              <w:pStyle w:val="25"/>
              <w:spacing w:line="241" w:lineRule="auto"/>
              <w:rPr>
                <w:color w:val="auto"/>
              </w:rPr>
            </w:pPr>
          </w:p>
          <w:p>
            <w:pPr>
              <w:pStyle w:val="25"/>
              <w:spacing w:line="241" w:lineRule="auto"/>
              <w:rPr>
                <w:color w:val="auto"/>
              </w:rPr>
            </w:pPr>
          </w:p>
          <w:p>
            <w:pPr>
              <w:pStyle w:val="25"/>
              <w:spacing w:line="241" w:lineRule="auto"/>
              <w:rPr>
                <w:color w:val="auto"/>
              </w:rPr>
            </w:pPr>
          </w:p>
          <w:p>
            <w:pPr>
              <w:pStyle w:val="25"/>
              <w:spacing w:line="241" w:lineRule="auto"/>
              <w:rPr>
                <w:color w:val="auto"/>
              </w:rPr>
            </w:pPr>
          </w:p>
          <w:p>
            <w:pPr>
              <w:pStyle w:val="25"/>
              <w:spacing w:line="241" w:lineRule="auto"/>
              <w:rPr>
                <w:color w:val="auto"/>
              </w:rPr>
            </w:pPr>
          </w:p>
          <w:p>
            <w:pPr>
              <w:pStyle w:val="25"/>
              <w:spacing w:line="241" w:lineRule="auto"/>
              <w:rPr>
                <w:color w:val="auto"/>
              </w:rPr>
            </w:pPr>
          </w:p>
          <w:p>
            <w:pPr>
              <w:pStyle w:val="25"/>
              <w:spacing w:line="241" w:lineRule="auto"/>
              <w:rPr>
                <w:color w:val="auto"/>
              </w:rPr>
            </w:pPr>
          </w:p>
          <w:p>
            <w:pPr>
              <w:pStyle w:val="25"/>
              <w:spacing w:line="241" w:lineRule="auto"/>
              <w:rPr>
                <w:color w:val="auto"/>
              </w:rPr>
            </w:pPr>
          </w:p>
          <w:p>
            <w:pPr>
              <w:pStyle w:val="25"/>
              <w:spacing w:line="241" w:lineRule="auto"/>
              <w:rPr>
                <w:color w:val="auto"/>
              </w:rPr>
            </w:pPr>
          </w:p>
          <w:p>
            <w:pPr>
              <w:spacing w:before="69" w:line="183" w:lineRule="auto"/>
              <w:ind w:left="365"/>
              <w:rPr>
                <w:rFonts w:ascii="SimSun" w:hAnsi="SimSun" w:eastAsia="SimSun" w:cs="SimSun"/>
                <w:color w:val="auto"/>
                <w:sz w:val="21"/>
                <w:szCs w:val="21"/>
              </w:rPr>
            </w:pPr>
            <w:r>
              <w:rPr>
                <w:rFonts w:ascii="SimSun" w:hAnsi="SimSun" w:eastAsia="SimSun" w:cs="SimSun"/>
                <w:color w:val="auto"/>
                <w:sz w:val="21"/>
                <w:szCs w:val="21"/>
              </w:rPr>
              <w:t>2</w:t>
            </w:r>
          </w:p>
        </w:tc>
        <w:tc>
          <w:tcPr>
            <w:tcW w:w="2358" w:type="dxa"/>
            <w:vMerge w:val="restart"/>
            <w:tcBorders>
              <w:bottom w:val="nil"/>
            </w:tcBorders>
            <w:vAlign w:val="top"/>
          </w:tcPr>
          <w:p>
            <w:pPr>
              <w:pStyle w:val="25"/>
              <w:spacing w:line="244" w:lineRule="auto"/>
              <w:rPr>
                <w:color w:val="auto"/>
              </w:rPr>
            </w:pPr>
          </w:p>
          <w:p>
            <w:pPr>
              <w:pStyle w:val="25"/>
              <w:spacing w:line="244" w:lineRule="auto"/>
              <w:rPr>
                <w:color w:val="auto"/>
              </w:rPr>
            </w:pPr>
          </w:p>
          <w:p>
            <w:pPr>
              <w:pStyle w:val="25"/>
              <w:spacing w:line="244" w:lineRule="auto"/>
              <w:rPr>
                <w:color w:val="auto"/>
              </w:rPr>
            </w:pPr>
          </w:p>
          <w:p>
            <w:pPr>
              <w:pStyle w:val="25"/>
              <w:spacing w:line="244" w:lineRule="auto"/>
              <w:rPr>
                <w:color w:val="auto"/>
              </w:rPr>
            </w:pPr>
          </w:p>
          <w:p>
            <w:pPr>
              <w:pStyle w:val="25"/>
              <w:spacing w:line="244" w:lineRule="auto"/>
              <w:rPr>
                <w:color w:val="auto"/>
              </w:rPr>
            </w:pPr>
          </w:p>
          <w:p>
            <w:pPr>
              <w:pStyle w:val="25"/>
              <w:spacing w:line="244" w:lineRule="auto"/>
              <w:rPr>
                <w:color w:val="auto"/>
              </w:rPr>
            </w:pPr>
          </w:p>
          <w:p>
            <w:pPr>
              <w:pStyle w:val="25"/>
              <w:spacing w:line="244" w:lineRule="auto"/>
              <w:rPr>
                <w:color w:val="auto"/>
              </w:rPr>
            </w:pPr>
          </w:p>
          <w:p>
            <w:pPr>
              <w:pStyle w:val="25"/>
              <w:spacing w:line="245" w:lineRule="auto"/>
              <w:rPr>
                <w:color w:val="auto"/>
              </w:rPr>
            </w:pPr>
          </w:p>
          <w:p>
            <w:pPr>
              <w:pStyle w:val="25"/>
              <w:spacing w:line="245" w:lineRule="auto"/>
              <w:rPr>
                <w:color w:val="auto"/>
              </w:rPr>
            </w:pPr>
          </w:p>
          <w:p>
            <w:pPr>
              <w:pStyle w:val="25"/>
              <w:spacing w:line="245" w:lineRule="auto"/>
              <w:rPr>
                <w:color w:val="auto"/>
              </w:rPr>
            </w:pPr>
          </w:p>
          <w:p>
            <w:pPr>
              <w:pStyle w:val="25"/>
              <w:spacing w:line="245" w:lineRule="auto"/>
              <w:rPr>
                <w:color w:val="auto"/>
              </w:rPr>
            </w:pPr>
          </w:p>
          <w:p>
            <w:pPr>
              <w:pStyle w:val="25"/>
              <w:spacing w:line="245" w:lineRule="auto"/>
              <w:rPr>
                <w:color w:val="auto"/>
              </w:rPr>
            </w:pPr>
          </w:p>
          <w:p>
            <w:pPr>
              <w:pStyle w:val="25"/>
              <w:spacing w:line="245" w:lineRule="auto"/>
              <w:rPr>
                <w:color w:val="auto"/>
              </w:rPr>
            </w:pPr>
          </w:p>
          <w:p>
            <w:pPr>
              <w:pStyle w:val="25"/>
              <w:spacing w:line="245" w:lineRule="auto"/>
              <w:rPr>
                <w:color w:val="auto"/>
              </w:rPr>
            </w:pPr>
          </w:p>
          <w:p>
            <w:pPr>
              <w:pStyle w:val="25"/>
              <w:spacing w:line="245" w:lineRule="auto"/>
              <w:rPr>
                <w:color w:val="auto"/>
              </w:rPr>
            </w:pPr>
          </w:p>
          <w:p>
            <w:pPr>
              <w:spacing w:before="68" w:line="233" w:lineRule="auto"/>
              <w:ind w:left="121" w:right="134"/>
              <w:rPr>
                <w:rFonts w:ascii="SimSun" w:hAnsi="SimSun" w:eastAsia="SimSun" w:cs="SimSun"/>
                <w:color w:val="auto"/>
                <w:sz w:val="21"/>
                <w:szCs w:val="21"/>
              </w:rPr>
            </w:pPr>
            <w:r>
              <w:rPr>
                <w:rFonts w:ascii="SimSun" w:hAnsi="SimSun" w:eastAsia="SimSun" w:cs="SimSun"/>
                <w:color w:val="auto"/>
                <w:spacing w:val="-1"/>
                <w:sz w:val="21"/>
                <w:szCs w:val="21"/>
              </w:rPr>
              <w:t>对涉盐生产经营有关单</w:t>
            </w:r>
            <w:r>
              <w:rPr>
                <w:rFonts w:ascii="SimSun" w:hAnsi="SimSun" w:eastAsia="SimSun" w:cs="SimSun"/>
                <w:color w:val="auto"/>
                <w:spacing w:val="1"/>
                <w:sz w:val="21"/>
                <w:szCs w:val="21"/>
              </w:rPr>
              <w:t xml:space="preserve"> </w:t>
            </w:r>
            <w:r>
              <w:rPr>
                <w:rFonts w:ascii="SimSun" w:hAnsi="SimSun" w:eastAsia="SimSun" w:cs="SimSun"/>
                <w:color w:val="auto"/>
                <w:spacing w:val="-1"/>
                <w:sz w:val="21"/>
                <w:szCs w:val="21"/>
              </w:rPr>
              <w:t>位、个人开展监督检查</w:t>
            </w:r>
          </w:p>
        </w:tc>
        <w:tc>
          <w:tcPr>
            <w:tcW w:w="1449" w:type="dxa"/>
            <w:vMerge w:val="restart"/>
            <w:tcBorders>
              <w:bottom w:val="nil"/>
            </w:tcBorders>
            <w:vAlign w:val="top"/>
          </w:tcPr>
          <w:p>
            <w:pPr>
              <w:pStyle w:val="25"/>
              <w:spacing w:line="260" w:lineRule="auto"/>
              <w:rPr>
                <w:color w:val="auto"/>
              </w:rPr>
            </w:pPr>
          </w:p>
          <w:p>
            <w:pPr>
              <w:pStyle w:val="25"/>
              <w:spacing w:line="260" w:lineRule="auto"/>
              <w:rPr>
                <w:color w:val="auto"/>
              </w:rPr>
            </w:pPr>
          </w:p>
          <w:p>
            <w:pPr>
              <w:pStyle w:val="25"/>
              <w:spacing w:line="260" w:lineRule="auto"/>
              <w:rPr>
                <w:color w:val="auto"/>
              </w:rPr>
            </w:pPr>
          </w:p>
          <w:p>
            <w:pPr>
              <w:pStyle w:val="25"/>
              <w:spacing w:line="260" w:lineRule="auto"/>
              <w:rPr>
                <w:color w:val="auto"/>
              </w:rPr>
            </w:pPr>
          </w:p>
          <w:p>
            <w:pPr>
              <w:pStyle w:val="25"/>
              <w:spacing w:line="260" w:lineRule="auto"/>
              <w:rPr>
                <w:color w:val="auto"/>
              </w:rPr>
            </w:pPr>
          </w:p>
          <w:p>
            <w:pPr>
              <w:pStyle w:val="25"/>
              <w:spacing w:line="260" w:lineRule="auto"/>
              <w:rPr>
                <w:color w:val="auto"/>
              </w:rPr>
            </w:pPr>
          </w:p>
          <w:p>
            <w:pPr>
              <w:pStyle w:val="25"/>
              <w:spacing w:line="260" w:lineRule="auto"/>
              <w:rPr>
                <w:color w:val="auto"/>
              </w:rPr>
            </w:pPr>
          </w:p>
          <w:p>
            <w:pPr>
              <w:pStyle w:val="25"/>
              <w:spacing w:line="260" w:lineRule="auto"/>
              <w:rPr>
                <w:color w:val="auto"/>
              </w:rPr>
            </w:pPr>
          </w:p>
          <w:p>
            <w:pPr>
              <w:pStyle w:val="25"/>
              <w:spacing w:line="261" w:lineRule="auto"/>
              <w:rPr>
                <w:color w:val="auto"/>
              </w:rPr>
            </w:pPr>
          </w:p>
          <w:p>
            <w:pPr>
              <w:pStyle w:val="25"/>
              <w:spacing w:line="261" w:lineRule="auto"/>
              <w:rPr>
                <w:color w:val="auto"/>
              </w:rPr>
            </w:pPr>
          </w:p>
          <w:p>
            <w:pPr>
              <w:pStyle w:val="25"/>
              <w:spacing w:line="261" w:lineRule="auto"/>
              <w:rPr>
                <w:color w:val="auto"/>
              </w:rPr>
            </w:pPr>
          </w:p>
          <w:p>
            <w:pPr>
              <w:spacing w:before="69" w:line="219" w:lineRule="auto"/>
              <w:ind w:left="83"/>
              <w:rPr>
                <w:rFonts w:ascii="SimSun" w:hAnsi="SimSun" w:eastAsia="SimSun" w:cs="SimSun"/>
                <w:color w:val="auto"/>
                <w:sz w:val="21"/>
                <w:szCs w:val="21"/>
              </w:rPr>
            </w:pPr>
            <w:r>
              <w:rPr>
                <w:rFonts w:ascii="SimSun" w:hAnsi="SimSun" w:eastAsia="SimSun" w:cs="SimSun"/>
                <w:color w:val="auto"/>
                <w:spacing w:val="2"/>
                <w:sz w:val="21"/>
                <w:szCs w:val="21"/>
              </w:rPr>
              <w:t>一般检查事项</w:t>
            </w:r>
          </w:p>
        </w:tc>
        <w:tc>
          <w:tcPr>
            <w:tcW w:w="3188" w:type="dxa"/>
            <w:vAlign w:val="top"/>
          </w:tcPr>
          <w:p>
            <w:pPr>
              <w:pStyle w:val="25"/>
              <w:rPr>
                <w:color w:val="auto"/>
              </w:rPr>
            </w:pPr>
          </w:p>
        </w:tc>
        <w:tc>
          <w:tcPr>
            <w:tcW w:w="1769" w:type="dxa"/>
            <w:vAlign w:val="top"/>
          </w:tcPr>
          <w:p>
            <w:pPr>
              <w:pStyle w:val="25"/>
              <w:spacing w:line="279" w:lineRule="auto"/>
              <w:rPr>
                <w:color w:val="auto"/>
              </w:rPr>
            </w:pPr>
          </w:p>
          <w:p>
            <w:pPr>
              <w:spacing w:before="69" w:line="219" w:lineRule="auto"/>
              <w:ind w:left="246"/>
              <w:rPr>
                <w:rFonts w:ascii="SimSun" w:hAnsi="SimSun" w:eastAsia="SimSun" w:cs="SimSun"/>
                <w:color w:val="auto"/>
                <w:sz w:val="21"/>
                <w:szCs w:val="21"/>
              </w:rPr>
            </w:pPr>
            <w:r>
              <w:rPr>
                <w:rFonts w:ascii="SimSun" w:hAnsi="SimSun" w:eastAsia="SimSun" w:cs="SimSun"/>
                <w:color w:val="auto"/>
                <w:spacing w:val="-2"/>
                <w:sz w:val="21"/>
                <w:szCs w:val="21"/>
              </w:rPr>
              <w:t>重点检查对象</w:t>
            </w:r>
          </w:p>
        </w:tc>
        <w:tc>
          <w:tcPr>
            <w:tcW w:w="2428" w:type="dxa"/>
            <w:vAlign w:val="top"/>
          </w:tcPr>
          <w:p>
            <w:pPr>
              <w:spacing w:before="49" w:line="249" w:lineRule="auto"/>
              <w:ind w:left="127" w:right="41" w:hanging="70"/>
              <w:rPr>
                <w:rFonts w:ascii="SimSun" w:hAnsi="SimSun" w:eastAsia="SimSun" w:cs="SimSun"/>
                <w:color w:val="auto"/>
                <w:sz w:val="21"/>
                <w:szCs w:val="21"/>
              </w:rPr>
            </w:pPr>
            <w:r>
              <w:rPr>
                <w:rFonts w:ascii="SimSun" w:hAnsi="SimSun" w:eastAsia="SimSun" w:cs="SimSun"/>
                <w:color w:val="auto"/>
                <w:sz w:val="21"/>
                <w:szCs w:val="21"/>
              </w:rPr>
              <w:t>多次被投诉、举报或社会</w:t>
            </w:r>
            <w:r>
              <w:rPr>
                <w:rFonts w:ascii="SimSun" w:hAnsi="SimSun" w:eastAsia="SimSun" w:cs="SimSun"/>
                <w:color w:val="auto"/>
                <w:spacing w:val="7"/>
                <w:sz w:val="21"/>
                <w:szCs w:val="21"/>
              </w:rPr>
              <w:t xml:space="preserve"> </w:t>
            </w:r>
            <w:r>
              <w:rPr>
                <w:rFonts w:ascii="SimSun" w:hAnsi="SimSun" w:eastAsia="SimSun" w:cs="SimSun"/>
                <w:color w:val="auto"/>
                <w:spacing w:val="2"/>
                <w:sz w:val="21"/>
                <w:szCs w:val="21"/>
              </w:rPr>
              <w:t>影响恶劣以及其他监管</w:t>
            </w:r>
            <w:r>
              <w:rPr>
                <w:rFonts w:ascii="SimSun" w:hAnsi="SimSun" w:eastAsia="SimSun" w:cs="SimSun"/>
                <w:color w:val="auto"/>
                <w:sz w:val="21"/>
                <w:szCs w:val="21"/>
              </w:rPr>
              <w:t xml:space="preserve">  </w:t>
            </w:r>
            <w:r>
              <w:rPr>
                <w:rFonts w:ascii="SimSun" w:hAnsi="SimSun" w:eastAsia="SimSun" w:cs="SimSun"/>
                <w:color w:val="auto"/>
                <w:spacing w:val="-2"/>
                <w:sz w:val="21"/>
                <w:szCs w:val="21"/>
              </w:rPr>
              <w:t>部门移交的企业</w:t>
            </w:r>
          </w:p>
        </w:tc>
        <w:tc>
          <w:tcPr>
            <w:tcW w:w="1753" w:type="dxa"/>
            <w:vAlign w:val="top"/>
          </w:tcPr>
          <w:p>
            <w:pPr>
              <w:pStyle w:val="25"/>
              <w:spacing w:line="279" w:lineRule="auto"/>
              <w:rPr>
                <w:color w:val="auto"/>
              </w:rPr>
            </w:pPr>
          </w:p>
          <w:p>
            <w:pPr>
              <w:spacing w:before="69"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864" w:type="dxa"/>
            <w:vMerge w:val="continue"/>
            <w:tcBorders>
              <w:top w:val="nil"/>
              <w:bottom w:val="nil"/>
            </w:tcBorders>
            <w:vAlign w:val="top"/>
          </w:tcPr>
          <w:p>
            <w:pPr>
              <w:pStyle w:val="25"/>
              <w:rPr>
                <w:color w:val="auto"/>
              </w:rPr>
            </w:pPr>
          </w:p>
        </w:tc>
        <w:tc>
          <w:tcPr>
            <w:tcW w:w="2358" w:type="dxa"/>
            <w:vMerge w:val="continue"/>
            <w:tcBorders>
              <w:top w:val="nil"/>
              <w:bottom w:val="nil"/>
            </w:tcBorders>
            <w:vAlign w:val="top"/>
          </w:tcPr>
          <w:p>
            <w:pPr>
              <w:pStyle w:val="25"/>
              <w:rPr>
                <w:color w:val="auto"/>
              </w:rPr>
            </w:pPr>
          </w:p>
        </w:tc>
        <w:tc>
          <w:tcPr>
            <w:tcW w:w="1449" w:type="dxa"/>
            <w:vMerge w:val="continue"/>
            <w:tcBorders>
              <w:top w:val="nil"/>
              <w:bottom w:val="nil"/>
            </w:tcBorders>
            <w:vAlign w:val="top"/>
          </w:tcPr>
          <w:p>
            <w:pPr>
              <w:pStyle w:val="25"/>
              <w:rPr>
                <w:color w:val="auto"/>
              </w:rPr>
            </w:pPr>
          </w:p>
        </w:tc>
        <w:tc>
          <w:tcPr>
            <w:tcW w:w="3188" w:type="dxa"/>
            <w:vMerge w:val="restart"/>
            <w:tcBorders>
              <w:bottom w:val="nil"/>
            </w:tcBorders>
            <w:vAlign w:val="top"/>
          </w:tcPr>
          <w:p>
            <w:pPr>
              <w:spacing w:before="281" w:line="251" w:lineRule="auto"/>
              <w:ind w:left="114" w:right="110"/>
              <w:jc w:val="both"/>
              <w:rPr>
                <w:rFonts w:ascii="SimSun" w:hAnsi="SimSun" w:eastAsia="SimSun" w:cs="SimSun"/>
                <w:color w:val="auto"/>
                <w:sz w:val="21"/>
                <w:szCs w:val="21"/>
              </w:rPr>
            </w:pPr>
            <w:r>
              <w:rPr>
                <w:rFonts w:ascii="SimSun" w:hAnsi="SimSun" w:eastAsia="SimSun" w:cs="SimSun"/>
                <w:color w:val="auto"/>
                <w:sz w:val="21"/>
                <w:szCs w:val="21"/>
              </w:rPr>
              <w:t>对食盐定点批发企业从除食盐定</w:t>
            </w:r>
            <w:r>
              <w:rPr>
                <w:rFonts w:ascii="SimSun" w:hAnsi="SimSun" w:eastAsia="SimSun" w:cs="SimSun"/>
                <w:color w:val="auto"/>
                <w:spacing w:val="12"/>
                <w:sz w:val="21"/>
                <w:szCs w:val="21"/>
              </w:rPr>
              <w:t xml:space="preserve"> </w:t>
            </w:r>
            <w:r>
              <w:rPr>
                <w:rFonts w:ascii="SimSun" w:hAnsi="SimSun" w:eastAsia="SimSun" w:cs="SimSun"/>
                <w:color w:val="auto"/>
                <w:sz w:val="21"/>
                <w:szCs w:val="21"/>
              </w:rPr>
              <w:t>点生产企业、其他食盐定点批发</w:t>
            </w:r>
            <w:r>
              <w:rPr>
                <w:rFonts w:ascii="SimSun" w:hAnsi="SimSun" w:eastAsia="SimSun" w:cs="SimSun"/>
                <w:color w:val="auto"/>
                <w:spacing w:val="7"/>
                <w:sz w:val="21"/>
                <w:szCs w:val="21"/>
              </w:rPr>
              <w:t xml:space="preserve"> </w:t>
            </w:r>
            <w:r>
              <w:rPr>
                <w:rFonts w:ascii="SimSun" w:hAnsi="SimSun" w:eastAsia="SimSun" w:cs="SimSun"/>
                <w:color w:val="auto"/>
                <w:sz w:val="21"/>
                <w:szCs w:val="21"/>
              </w:rPr>
              <w:t>企业以外的单位或者个人购进食</w:t>
            </w:r>
            <w:r>
              <w:rPr>
                <w:rFonts w:ascii="SimSun" w:hAnsi="SimSun" w:eastAsia="SimSun" w:cs="SimSun"/>
                <w:color w:val="auto"/>
                <w:spacing w:val="8"/>
                <w:sz w:val="21"/>
                <w:szCs w:val="21"/>
              </w:rPr>
              <w:t xml:space="preserve"> </w:t>
            </w:r>
            <w:r>
              <w:rPr>
                <w:rFonts w:ascii="SimSun" w:hAnsi="SimSun" w:eastAsia="SimSun" w:cs="SimSun"/>
                <w:color w:val="auto"/>
                <w:spacing w:val="1"/>
                <w:sz w:val="21"/>
                <w:szCs w:val="21"/>
              </w:rPr>
              <w:t>盐的行政检查</w:t>
            </w:r>
          </w:p>
        </w:tc>
        <w:tc>
          <w:tcPr>
            <w:tcW w:w="1769" w:type="dxa"/>
            <w:vAlign w:val="top"/>
          </w:tcPr>
          <w:p>
            <w:pPr>
              <w:spacing w:before="80" w:line="219" w:lineRule="auto"/>
              <w:ind w:left="246"/>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28" w:type="dxa"/>
            <w:vAlign w:val="top"/>
          </w:tcPr>
          <w:p>
            <w:pPr>
              <w:spacing w:before="79" w:line="219" w:lineRule="auto"/>
              <w:ind w:left="157"/>
              <w:rPr>
                <w:rFonts w:ascii="SimSun" w:hAnsi="SimSun" w:eastAsia="SimSun" w:cs="SimSun"/>
                <w:color w:val="auto"/>
                <w:sz w:val="21"/>
                <w:szCs w:val="21"/>
              </w:rPr>
            </w:pPr>
            <w:r>
              <w:rPr>
                <w:rFonts w:ascii="SimSun" w:hAnsi="SimSun" w:eastAsia="SimSun" w:cs="SimSun"/>
                <w:color w:val="auto"/>
                <w:spacing w:val="-2"/>
                <w:sz w:val="21"/>
                <w:szCs w:val="21"/>
              </w:rPr>
              <w:t>未被投诉、举报的企业</w:t>
            </w:r>
          </w:p>
        </w:tc>
        <w:tc>
          <w:tcPr>
            <w:tcW w:w="1753" w:type="dxa"/>
            <w:vAlign w:val="top"/>
          </w:tcPr>
          <w:p>
            <w:pPr>
              <w:spacing w:before="79"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双随机、一公开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64" w:type="dxa"/>
            <w:vMerge w:val="continue"/>
            <w:tcBorders>
              <w:top w:val="nil"/>
              <w:bottom w:val="nil"/>
            </w:tcBorders>
            <w:vAlign w:val="top"/>
          </w:tcPr>
          <w:p>
            <w:pPr>
              <w:pStyle w:val="25"/>
              <w:rPr>
                <w:color w:val="auto"/>
              </w:rPr>
            </w:pPr>
          </w:p>
        </w:tc>
        <w:tc>
          <w:tcPr>
            <w:tcW w:w="2358" w:type="dxa"/>
            <w:vMerge w:val="continue"/>
            <w:tcBorders>
              <w:top w:val="nil"/>
              <w:bottom w:val="nil"/>
            </w:tcBorders>
            <w:vAlign w:val="top"/>
          </w:tcPr>
          <w:p>
            <w:pPr>
              <w:pStyle w:val="25"/>
              <w:rPr>
                <w:color w:val="auto"/>
              </w:rPr>
            </w:pPr>
          </w:p>
        </w:tc>
        <w:tc>
          <w:tcPr>
            <w:tcW w:w="1449" w:type="dxa"/>
            <w:vMerge w:val="continue"/>
            <w:tcBorders>
              <w:top w:val="nil"/>
              <w:bottom w:val="nil"/>
            </w:tcBorders>
            <w:vAlign w:val="top"/>
          </w:tcPr>
          <w:p>
            <w:pPr>
              <w:pStyle w:val="25"/>
              <w:rPr>
                <w:color w:val="auto"/>
              </w:rPr>
            </w:pPr>
          </w:p>
        </w:tc>
        <w:tc>
          <w:tcPr>
            <w:tcW w:w="3188" w:type="dxa"/>
            <w:vMerge w:val="continue"/>
            <w:tcBorders>
              <w:top w:val="nil"/>
              <w:bottom w:val="nil"/>
            </w:tcBorders>
            <w:vAlign w:val="top"/>
          </w:tcPr>
          <w:p>
            <w:pPr>
              <w:pStyle w:val="25"/>
              <w:rPr>
                <w:color w:val="auto"/>
              </w:rPr>
            </w:pPr>
          </w:p>
        </w:tc>
        <w:tc>
          <w:tcPr>
            <w:tcW w:w="1769" w:type="dxa"/>
            <w:vAlign w:val="top"/>
          </w:tcPr>
          <w:p>
            <w:pPr>
              <w:spacing w:before="70" w:line="219" w:lineRule="auto"/>
              <w:ind w:left="246"/>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28" w:type="dxa"/>
            <w:vAlign w:val="top"/>
          </w:tcPr>
          <w:p>
            <w:pPr>
              <w:spacing w:before="69" w:line="219" w:lineRule="auto"/>
              <w:ind w:left="117"/>
              <w:rPr>
                <w:rFonts w:ascii="SimSun" w:hAnsi="SimSun" w:eastAsia="SimSun" w:cs="SimSun"/>
                <w:color w:val="auto"/>
                <w:sz w:val="21"/>
                <w:szCs w:val="21"/>
              </w:rPr>
            </w:pPr>
            <w:r>
              <w:rPr>
                <w:rFonts w:ascii="SimSun" w:hAnsi="SimSun" w:eastAsia="SimSun" w:cs="SimSun"/>
                <w:color w:val="auto"/>
                <w:spacing w:val="-1"/>
                <w:sz w:val="21"/>
                <w:szCs w:val="21"/>
              </w:rPr>
              <w:t>被投诉、举报的企业</w:t>
            </w:r>
          </w:p>
        </w:tc>
        <w:tc>
          <w:tcPr>
            <w:tcW w:w="1753" w:type="dxa"/>
            <w:vAlign w:val="top"/>
          </w:tcPr>
          <w:p>
            <w:pPr>
              <w:spacing w:before="70"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864" w:type="dxa"/>
            <w:vMerge w:val="continue"/>
            <w:tcBorders>
              <w:top w:val="nil"/>
              <w:bottom w:val="nil"/>
            </w:tcBorders>
            <w:vAlign w:val="top"/>
          </w:tcPr>
          <w:p>
            <w:pPr>
              <w:pStyle w:val="25"/>
              <w:rPr>
                <w:color w:val="auto"/>
              </w:rPr>
            </w:pPr>
          </w:p>
        </w:tc>
        <w:tc>
          <w:tcPr>
            <w:tcW w:w="2358" w:type="dxa"/>
            <w:vMerge w:val="continue"/>
            <w:tcBorders>
              <w:top w:val="nil"/>
              <w:bottom w:val="nil"/>
            </w:tcBorders>
            <w:vAlign w:val="top"/>
          </w:tcPr>
          <w:p>
            <w:pPr>
              <w:pStyle w:val="25"/>
              <w:rPr>
                <w:color w:val="auto"/>
              </w:rPr>
            </w:pPr>
          </w:p>
        </w:tc>
        <w:tc>
          <w:tcPr>
            <w:tcW w:w="1449" w:type="dxa"/>
            <w:vMerge w:val="continue"/>
            <w:tcBorders>
              <w:top w:val="nil"/>
              <w:bottom w:val="nil"/>
            </w:tcBorders>
            <w:vAlign w:val="top"/>
          </w:tcPr>
          <w:p>
            <w:pPr>
              <w:pStyle w:val="25"/>
              <w:rPr>
                <w:color w:val="auto"/>
              </w:rPr>
            </w:pPr>
          </w:p>
        </w:tc>
        <w:tc>
          <w:tcPr>
            <w:tcW w:w="3188" w:type="dxa"/>
            <w:vMerge w:val="continue"/>
            <w:tcBorders>
              <w:top w:val="nil"/>
            </w:tcBorders>
            <w:vAlign w:val="top"/>
          </w:tcPr>
          <w:p>
            <w:pPr>
              <w:pStyle w:val="25"/>
              <w:rPr>
                <w:color w:val="auto"/>
              </w:rPr>
            </w:pPr>
          </w:p>
        </w:tc>
        <w:tc>
          <w:tcPr>
            <w:tcW w:w="1769" w:type="dxa"/>
            <w:vAlign w:val="top"/>
          </w:tcPr>
          <w:p>
            <w:pPr>
              <w:pStyle w:val="25"/>
              <w:spacing w:line="280" w:lineRule="auto"/>
              <w:rPr>
                <w:color w:val="auto"/>
              </w:rPr>
            </w:pPr>
          </w:p>
          <w:p>
            <w:pPr>
              <w:spacing w:before="69" w:line="219" w:lineRule="auto"/>
              <w:ind w:left="246"/>
              <w:rPr>
                <w:rFonts w:ascii="SimSun" w:hAnsi="SimSun" w:eastAsia="SimSun" w:cs="SimSun"/>
                <w:color w:val="auto"/>
                <w:sz w:val="21"/>
                <w:szCs w:val="21"/>
              </w:rPr>
            </w:pPr>
            <w:r>
              <w:rPr>
                <w:rFonts w:ascii="SimSun" w:hAnsi="SimSun" w:eastAsia="SimSun" w:cs="SimSun"/>
                <w:color w:val="auto"/>
                <w:spacing w:val="-2"/>
                <w:sz w:val="21"/>
                <w:szCs w:val="21"/>
              </w:rPr>
              <w:t>重点检查对象</w:t>
            </w:r>
          </w:p>
        </w:tc>
        <w:tc>
          <w:tcPr>
            <w:tcW w:w="2428" w:type="dxa"/>
            <w:vAlign w:val="top"/>
          </w:tcPr>
          <w:p>
            <w:pPr>
              <w:spacing w:before="49" w:line="246" w:lineRule="auto"/>
              <w:ind w:left="127" w:right="41" w:hanging="70"/>
              <w:rPr>
                <w:rFonts w:ascii="SimSun" w:hAnsi="SimSun" w:eastAsia="SimSun" w:cs="SimSun"/>
                <w:color w:val="auto"/>
                <w:sz w:val="21"/>
                <w:szCs w:val="21"/>
              </w:rPr>
            </w:pPr>
            <w:r>
              <w:rPr>
                <w:rFonts w:ascii="SimSun" w:hAnsi="SimSun" w:eastAsia="SimSun" w:cs="SimSun"/>
                <w:color w:val="auto"/>
                <w:sz w:val="21"/>
                <w:szCs w:val="21"/>
              </w:rPr>
              <w:t>多次被投诉、举报或社会</w:t>
            </w:r>
            <w:r>
              <w:rPr>
                <w:rFonts w:ascii="SimSun" w:hAnsi="SimSun" w:eastAsia="SimSun" w:cs="SimSun"/>
                <w:color w:val="auto"/>
                <w:spacing w:val="7"/>
                <w:sz w:val="21"/>
                <w:szCs w:val="21"/>
              </w:rPr>
              <w:t xml:space="preserve"> </w:t>
            </w:r>
            <w:r>
              <w:rPr>
                <w:rFonts w:ascii="SimSun" w:hAnsi="SimSun" w:eastAsia="SimSun" w:cs="SimSun"/>
                <w:color w:val="auto"/>
                <w:spacing w:val="2"/>
                <w:sz w:val="21"/>
                <w:szCs w:val="21"/>
              </w:rPr>
              <w:t>影响恶劣以及其他监管</w:t>
            </w:r>
            <w:r>
              <w:rPr>
                <w:rFonts w:ascii="SimSun" w:hAnsi="SimSun" w:eastAsia="SimSun" w:cs="SimSun"/>
                <w:color w:val="auto"/>
                <w:sz w:val="21"/>
                <w:szCs w:val="21"/>
              </w:rPr>
              <w:t xml:space="preserve">  </w:t>
            </w:r>
            <w:r>
              <w:rPr>
                <w:rFonts w:ascii="SimSun" w:hAnsi="SimSun" w:eastAsia="SimSun" w:cs="SimSun"/>
                <w:color w:val="auto"/>
                <w:spacing w:val="-2"/>
                <w:sz w:val="21"/>
                <w:szCs w:val="21"/>
              </w:rPr>
              <w:t>部门移交的企业</w:t>
            </w:r>
          </w:p>
        </w:tc>
        <w:tc>
          <w:tcPr>
            <w:tcW w:w="1753" w:type="dxa"/>
            <w:vAlign w:val="top"/>
          </w:tcPr>
          <w:p>
            <w:pPr>
              <w:pStyle w:val="25"/>
              <w:spacing w:line="280" w:lineRule="auto"/>
              <w:rPr>
                <w:color w:val="auto"/>
              </w:rPr>
            </w:pPr>
          </w:p>
          <w:p>
            <w:pPr>
              <w:spacing w:before="69"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atLeast"/>
        </w:trPr>
        <w:tc>
          <w:tcPr>
            <w:tcW w:w="864" w:type="dxa"/>
            <w:vMerge w:val="continue"/>
            <w:tcBorders>
              <w:top w:val="nil"/>
              <w:bottom w:val="nil"/>
            </w:tcBorders>
            <w:vAlign w:val="top"/>
          </w:tcPr>
          <w:p>
            <w:pPr>
              <w:pStyle w:val="25"/>
              <w:rPr>
                <w:color w:val="auto"/>
              </w:rPr>
            </w:pPr>
          </w:p>
        </w:tc>
        <w:tc>
          <w:tcPr>
            <w:tcW w:w="2358" w:type="dxa"/>
            <w:vMerge w:val="continue"/>
            <w:tcBorders>
              <w:top w:val="nil"/>
              <w:bottom w:val="nil"/>
            </w:tcBorders>
            <w:vAlign w:val="top"/>
          </w:tcPr>
          <w:p>
            <w:pPr>
              <w:pStyle w:val="25"/>
              <w:rPr>
                <w:color w:val="auto"/>
              </w:rPr>
            </w:pPr>
          </w:p>
        </w:tc>
        <w:tc>
          <w:tcPr>
            <w:tcW w:w="1449" w:type="dxa"/>
            <w:vMerge w:val="continue"/>
            <w:tcBorders>
              <w:top w:val="nil"/>
              <w:bottom w:val="nil"/>
            </w:tcBorders>
            <w:vAlign w:val="top"/>
          </w:tcPr>
          <w:p>
            <w:pPr>
              <w:pStyle w:val="25"/>
              <w:rPr>
                <w:color w:val="auto"/>
              </w:rPr>
            </w:pPr>
          </w:p>
        </w:tc>
        <w:tc>
          <w:tcPr>
            <w:tcW w:w="3188" w:type="dxa"/>
            <w:vMerge w:val="restart"/>
            <w:tcBorders>
              <w:bottom w:val="nil"/>
            </w:tcBorders>
            <w:vAlign w:val="top"/>
          </w:tcPr>
          <w:p>
            <w:pPr>
              <w:pStyle w:val="25"/>
              <w:spacing w:line="380" w:lineRule="auto"/>
              <w:rPr>
                <w:color w:val="auto"/>
              </w:rPr>
            </w:pPr>
          </w:p>
          <w:p>
            <w:pPr>
              <w:spacing w:before="68" w:line="255" w:lineRule="auto"/>
              <w:ind w:left="114" w:right="114"/>
              <w:jc w:val="both"/>
              <w:rPr>
                <w:rFonts w:ascii="SimSun" w:hAnsi="SimSun" w:eastAsia="SimSun" w:cs="SimSun"/>
                <w:color w:val="auto"/>
                <w:sz w:val="21"/>
                <w:szCs w:val="21"/>
              </w:rPr>
            </w:pPr>
            <w:r>
              <w:rPr>
                <w:rFonts w:ascii="SimSun" w:hAnsi="SimSun" w:eastAsia="SimSun" w:cs="SimSun"/>
                <w:color w:val="auto"/>
                <w:spacing w:val="-1"/>
                <w:sz w:val="21"/>
                <w:szCs w:val="21"/>
              </w:rPr>
              <w:t>对食盐零售单位从食盐定点批发</w:t>
            </w:r>
            <w:r>
              <w:rPr>
                <w:rFonts w:ascii="SimSun" w:hAnsi="SimSun" w:eastAsia="SimSun" w:cs="SimSun"/>
                <w:color w:val="auto"/>
                <w:spacing w:val="5"/>
                <w:sz w:val="21"/>
                <w:szCs w:val="21"/>
              </w:rPr>
              <w:t xml:space="preserve"> </w:t>
            </w:r>
            <w:r>
              <w:rPr>
                <w:rFonts w:ascii="SimSun" w:hAnsi="SimSun" w:eastAsia="SimSun" w:cs="SimSun"/>
                <w:color w:val="auto"/>
                <w:sz w:val="21"/>
                <w:szCs w:val="21"/>
              </w:rPr>
              <w:t>企业以外的单位或者个人购进食</w:t>
            </w:r>
            <w:r>
              <w:rPr>
                <w:rFonts w:ascii="SimSun" w:hAnsi="SimSun" w:eastAsia="SimSun" w:cs="SimSun"/>
                <w:color w:val="auto"/>
                <w:spacing w:val="8"/>
                <w:sz w:val="21"/>
                <w:szCs w:val="21"/>
              </w:rPr>
              <w:t xml:space="preserve"> </w:t>
            </w:r>
            <w:r>
              <w:rPr>
                <w:rFonts w:ascii="SimSun" w:hAnsi="SimSun" w:eastAsia="SimSun" w:cs="SimSun"/>
                <w:color w:val="auto"/>
                <w:spacing w:val="3"/>
                <w:sz w:val="21"/>
                <w:szCs w:val="21"/>
              </w:rPr>
              <w:t>盐的行政检查</w:t>
            </w:r>
          </w:p>
        </w:tc>
        <w:tc>
          <w:tcPr>
            <w:tcW w:w="1769" w:type="dxa"/>
            <w:vAlign w:val="top"/>
          </w:tcPr>
          <w:p>
            <w:pPr>
              <w:spacing w:before="91" w:line="219" w:lineRule="auto"/>
              <w:ind w:left="246"/>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28" w:type="dxa"/>
            <w:vAlign w:val="top"/>
          </w:tcPr>
          <w:p>
            <w:pPr>
              <w:spacing w:before="90" w:line="219" w:lineRule="auto"/>
              <w:ind w:left="157"/>
              <w:rPr>
                <w:rFonts w:ascii="SimSun" w:hAnsi="SimSun" w:eastAsia="SimSun" w:cs="SimSun"/>
                <w:color w:val="auto"/>
                <w:sz w:val="21"/>
                <w:szCs w:val="21"/>
              </w:rPr>
            </w:pPr>
            <w:r>
              <w:rPr>
                <w:rFonts w:ascii="SimSun" w:hAnsi="SimSun" w:eastAsia="SimSun" w:cs="SimSun"/>
                <w:color w:val="auto"/>
                <w:spacing w:val="-2"/>
                <w:sz w:val="21"/>
                <w:szCs w:val="21"/>
              </w:rPr>
              <w:t>未被投诉、举报的企业</w:t>
            </w:r>
          </w:p>
        </w:tc>
        <w:tc>
          <w:tcPr>
            <w:tcW w:w="1753" w:type="dxa"/>
            <w:vAlign w:val="top"/>
          </w:tcPr>
          <w:p>
            <w:pPr>
              <w:spacing w:before="92" w:line="221" w:lineRule="auto"/>
              <w:ind w:left="129"/>
              <w:rPr>
                <w:rFonts w:ascii="SimSun" w:hAnsi="SimSun" w:eastAsia="SimSun" w:cs="SimSun"/>
                <w:color w:val="auto"/>
                <w:sz w:val="21"/>
                <w:szCs w:val="21"/>
              </w:rPr>
            </w:pPr>
            <w:r>
              <w:rPr>
                <w:rFonts w:ascii="SimSun" w:hAnsi="SimSun" w:eastAsia="SimSun" w:cs="SimSun"/>
                <w:color w:val="auto"/>
                <w:spacing w:val="-2"/>
                <w:sz w:val="21"/>
                <w:szCs w:val="21"/>
              </w:rPr>
              <w:t>抽查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864" w:type="dxa"/>
            <w:vMerge w:val="continue"/>
            <w:tcBorders>
              <w:top w:val="nil"/>
              <w:bottom w:val="nil"/>
            </w:tcBorders>
            <w:vAlign w:val="top"/>
          </w:tcPr>
          <w:p>
            <w:pPr>
              <w:pStyle w:val="25"/>
              <w:rPr>
                <w:color w:val="auto"/>
              </w:rPr>
            </w:pPr>
          </w:p>
        </w:tc>
        <w:tc>
          <w:tcPr>
            <w:tcW w:w="2358" w:type="dxa"/>
            <w:vMerge w:val="continue"/>
            <w:tcBorders>
              <w:top w:val="nil"/>
              <w:bottom w:val="nil"/>
            </w:tcBorders>
            <w:vAlign w:val="top"/>
          </w:tcPr>
          <w:p>
            <w:pPr>
              <w:pStyle w:val="25"/>
              <w:rPr>
                <w:color w:val="auto"/>
              </w:rPr>
            </w:pPr>
          </w:p>
        </w:tc>
        <w:tc>
          <w:tcPr>
            <w:tcW w:w="1449" w:type="dxa"/>
            <w:vMerge w:val="continue"/>
            <w:tcBorders>
              <w:top w:val="nil"/>
              <w:bottom w:val="nil"/>
            </w:tcBorders>
            <w:vAlign w:val="top"/>
          </w:tcPr>
          <w:p>
            <w:pPr>
              <w:pStyle w:val="25"/>
              <w:rPr>
                <w:color w:val="auto"/>
              </w:rPr>
            </w:pPr>
          </w:p>
        </w:tc>
        <w:tc>
          <w:tcPr>
            <w:tcW w:w="3188" w:type="dxa"/>
            <w:vMerge w:val="continue"/>
            <w:tcBorders>
              <w:top w:val="nil"/>
              <w:bottom w:val="nil"/>
            </w:tcBorders>
            <w:vAlign w:val="top"/>
          </w:tcPr>
          <w:p>
            <w:pPr>
              <w:pStyle w:val="25"/>
              <w:rPr>
                <w:color w:val="auto"/>
              </w:rPr>
            </w:pPr>
          </w:p>
        </w:tc>
        <w:tc>
          <w:tcPr>
            <w:tcW w:w="1769" w:type="dxa"/>
            <w:vAlign w:val="top"/>
          </w:tcPr>
          <w:p>
            <w:pPr>
              <w:spacing w:before="92" w:line="219" w:lineRule="auto"/>
              <w:ind w:left="246"/>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28" w:type="dxa"/>
            <w:vAlign w:val="top"/>
          </w:tcPr>
          <w:p>
            <w:pPr>
              <w:spacing w:before="91" w:line="219" w:lineRule="auto"/>
              <w:ind w:left="117"/>
              <w:rPr>
                <w:rFonts w:ascii="SimSun" w:hAnsi="SimSun" w:eastAsia="SimSun" w:cs="SimSun"/>
                <w:color w:val="auto"/>
                <w:sz w:val="21"/>
                <w:szCs w:val="21"/>
              </w:rPr>
            </w:pPr>
            <w:r>
              <w:rPr>
                <w:rFonts w:ascii="SimSun" w:hAnsi="SimSun" w:eastAsia="SimSun" w:cs="SimSun"/>
                <w:color w:val="auto"/>
                <w:spacing w:val="-1"/>
                <w:sz w:val="21"/>
                <w:szCs w:val="21"/>
              </w:rPr>
              <w:t>被投诉、举报的企业</w:t>
            </w:r>
          </w:p>
        </w:tc>
        <w:tc>
          <w:tcPr>
            <w:tcW w:w="1753" w:type="dxa"/>
            <w:vAlign w:val="top"/>
          </w:tcPr>
          <w:p>
            <w:pPr>
              <w:spacing w:before="92"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trPr>
        <w:tc>
          <w:tcPr>
            <w:tcW w:w="864" w:type="dxa"/>
            <w:vMerge w:val="continue"/>
            <w:tcBorders>
              <w:top w:val="nil"/>
              <w:bottom w:val="nil"/>
            </w:tcBorders>
            <w:vAlign w:val="top"/>
          </w:tcPr>
          <w:p>
            <w:pPr>
              <w:pStyle w:val="25"/>
              <w:rPr>
                <w:color w:val="auto"/>
              </w:rPr>
            </w:pPr>
          </w:p>
        </w:tc>
        <w:tc>
          <w:tcPr>
            <w:tcW w:w="2358" w:type="dxa"/>
            <w:vMerge w:val="continue"/>
            <w:tcBorders>
              <w:top w:val="nil"/>
              <w:bottom w:val="nil"/>
            </w:tcBorders>
            <w:vAlign w:val="top"/>
          </w:tcPr>
          <w:p>
            <w:pPr>
              <w:pStyle w:val="25"/>
              <w:rPr>
                <w:color w:val="auto"/>
              </w:rPr>
            </w:pPr>
          </w:p>
        </w:tc>
        <w:tc>
          <w:tcPr>
            <w:tcW w:w="1449" w:type="dxa"/>
            <w:vMerge w:val="continue"/>
            <w:tcBorders>
              <w:top w:val="nil"/>
              <w:bottom w:val="nil"/>
            </w:tcBorders>
            <w:vAlign w:val="top"/>
          </w:tcPr>
          <w:p>
            <w:pPr>
              <w:pStyle w:val="25"/>
              <w:rPr>
                <w:color w:val="auto"/>
              </w:rPr>
            </w:pPr>
          </w:p>
        </w:tc>
        <w:tc>
          <w:tcPr>
            <w:tcW w:w="3188" w:type="dxa"/>
            <w:vMerge w:val="continue"/>
            <w:tcBorders>
              <w:top w:val="nil"/>
            </w:tcBorders>
            <w:vAlign w:val="top"/>
          </w:tcPr>
          <w:p>
            <w:pPr>
              <w:pStyle w:val="25"/>
              <w:rPr>
                <w:color w:val="auto"/>
              </w:rPr>
            </w:pPr>
          </w:p>
        </w:tc>
        <w:tc>
          <w:tcPr>
            <w:tcW w:w="1769" w:type="dxa"/>
            <w:vAlign w:val="top"/>
          </w:tcPr>
          <w:p>
            <w:pPr>
              <w:pStyle w:val="25"/>
              <w:spacing w:line="282" w:lineRule="auto"/>
              <w:rPr>
                <w:color w:val="auto"/>
              </w:rPr>
            </w:pPr>
          </w:p>
          <w:p>
            <w:pPr>
              <w:spacing w:before="69" w:line="219" w:lineRule="auto"/>
              <w:ind w:left="246"/>
              <w:rPr>
                <w:rFonts w:ascii="SimSun" w:hAnsi="SimSun" w:eastAsia="SimSun" w:cs="SimSun"/>
                <w:color w:val="auto"/>
                <w:sz w:val="21"/>
                <w:szCs w:val="21"/>
              </w:rPr>
            </w:pPr>
            <w:r>
              <w:rPr>
                <w:rFonts w:ascii="SimSun" w:hAnsi="SimSun" w:eastAsia="SimSun" w:cs="SimSun"/>
                <w:color w:val="auto"/>
                <w:spacing w:val="-2"/>
                <w:sz w:val="21"/>
                <w:szCs w:val="21"/>
              </w:rPr>
              <w:t>重点检查对象</w:t>
            </w:r>
          </w:p>
        </w:tc>
        <w:tc>
          <w:tcPr>
            <w:tcW w:w="2428" w:type="dxa"/>
            <w:vAlign w:val="top"/>
          </w:tcPr>
          <w:p>
            <w:pPr>
              <w:spacing w:before="62" w:line="245" w:lineRule="auto"/>
              <w:ind w:left="127" w:right="41" w:hanging="70"/>
              <w:rPr>
                <w:rFonts w:ascii="SimSun" w:hAnsi="SimSun" w:eastAsia="SimSun" w:cs="SimSun"/>
                <w:color w:val="auto"/>
                <w:sz w:val="21"/>
                <w:szCs w:val="21"/>
              </w:rPr>
            </w:pPr>
            <w:r>
              <w:rPr>
                <w:rFonts w:ascii="SimSun" w:hAnsi="SimSun" w:eastAsia="SimSun" w:cs="SimSun"/>
                <w:color w:val="auto"/>
                <w:sz w:val="21"/>
                <w:szCs w:val="21"/>
              </w:rPr>
              <w:t>多次被投诉、举报或社会</w:t>
            </w:r>
            <w:r>
              <w:rPr>
                <w:rFonts w:ascii="SimSun" w:hAnsi="SimSun" w:eastAsia="SimSun" w:cs="SimSun"/>
                <w:color w:val="auto"/>
                <w:spacing w:val="7"/>
                <w:sz w:val="21"/>
                <w:szCs w:val="21"/>
              </w:rPr>
              <w:t xml:space="preserve"> </w:t>
            </w:r>
            <w:r>
              <w:rPr>
                <w:rFonts w:ascii="SimSun" w:hAnsi="SimSun" w:eastAsia="SimSun" w:cs="SimSun"/>
                <w:color w:val="auto"/>
                <w:spacing w:val="2"/>
                <w:sz w:val="21"/>
                <w:szCs w:val="21"/>
              </w:rPr>
              <w:t>影响恶劣以及其他监管</w:t>
            </w:r>
            <w:r>
              <w:rPr>
                <w:rFonts w:ascii="SimSun" w:hAnsi="SimSun" w:eastAsia="SimSun" w:cs="SimSun"/>
                <w:color w:val="auto"/>
                <w:sz w:val="21"/>
                <w:szCs w:val="21"/>
              </w:rPr>
              <w:t xml:space="preserve">  </w:t>
            </w:r>
            <w:r>
              <w:rPr>
                <w:rFonts w:ascii="SimSun" w:hAnsi="SimSun" w:eastAsia="SimSun" w:cs="SimSun"/>
                <w:color w:val="auto"/>
                <w:spacing w:val="-2"/>
                <w:sz w:val="21"/>
                <w:szCs w:val="21"/>
              </w:rPr>
              <w:t>部门移交的企业</w:t>
            </w:r>
          </w:p>
        </w:tc>
        <w:tc>
          <w:tcPr>
            <w:tcW w:w="1753" w:type="dxa"/>
            <w:vAlign w:val="top"/>
          </w:tcPr>
          <w:p>
            <w:pPr>
              <w:pStyle w:val="25"/>
              <w:spacing w:line="282" w:lineRule="auto"/>
              <w:rPr>
                <w:color w:val="auto"/>
              </w:rPr>
            </w:pPr>
          </w:p>
          <w:p>
            <w:pPr>
              <w:spacing w:before="69"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864" w:type="dxa"/>
            <w:vMerge w:val="continue"/>
            <w:tcBorders>
              <w:top w:val="nil"/>
              <w:bottom w:val="nil"/>
            </w:tcBorders>
            <w:vAlign w:val="top"/>
          </w:tcPr>
          <w:p>
            <w:pPr>
              <w:pStyle w:val="25"/>
              <w:rPr>
                <w:color w:val="auto"/>
              </w:rPr>
            </w:pPr>
          </w:p>
        </w:tc>
        <w:tc>
          <w:tcPr>
            <w:tcW w:w="2358" w:type="dxa"/>
            <w:vMerge w:val="continue"/>
            <w:tcBorders>
              <w:top w:val="nil"/>
              <w:bottom w:val="nil"/>
            </w:tcBorders>
            <w:vAlign w:val="top"/>
          </w:tcPr>
          <w:p>
            <w:pPr>
              <w:pStyle w:val="25"/>
              <w:rPr>
                <w:color w:val="auto"/>
              </w:rPr>
            </w:pPr>
          </w:p>
        </w:tc>
        <w:tc>
          <w:tcPr>
            <w:tcW w:w="1449" w:type="dxa"/>
            <w:vMerge w:val="continue"/>
            <w:tcBorders>
              <w:top w:val="nil"/>
              <w:bottom w:val="nil"/>
            </w:tcBorders>
            <w:vAlign w:val="top"/>
          </w:tcPr>
          <w:p>
            <w:pPr>
              <w:pStyle w:val="25"/>
              <w:rPr>
                <w:color w:val="auto"/>
              </w:rPr>
            </w:pPr>
          </w:p>
        </w:tc>
        <w:tc>
          <w:tcPr>
            <w:tcW w:w="3188" w:type="dxa"/>
            <w:vMerge w:val="restart"/>
            <w:tcBorders>
              <w:bottom w:val="nil"/>
            </w:tcBorders>
            <w:vAlign w:val="top"/>
          </w:tcPr>
          <w:p>
            <w:pPr>
              <w:pStyle w:val="25"/>
              <w:spacing w:line="291" w:lineRule="auto"/>
              <w:rPr>
                <w:color w:val="auto"/>
              </w:rPr>
            </w:pPr>
          </w:p>
          <w:p>
            <w:pPr>
              <w:pStyle w:val="25"/>
              <w:spacing w:line="291" w:lineRule="auto"/>
              <w:rPr>
                <w:color w:val="auto"/>
              </w:rPr>
            </w:pPr>
          </w:p>
          <w:p>
            <w:pPr>
              <w:spacing w:before="68" w:line="250" w:lineRule="auto"/>
              <w:ind w:left="114" w:right="131"/>
              <w:rPr>
                <w:rFonts w:ascii="SimSun" w:hAnsi="SimSun" w:eastAsia="SimSun" w:cs="SimSun"/>
                <w:color w:val="auto"/>
                <w:sz w:val="21"/>
                <w:szCs w:val="21"/>
              </w:rPr>
            </w:pPr>
            <w:r>
              <w:rPr>
                <w:rFonts w:ascii="SimSun" w:hAnsi="SimSun" w:eastAsia="SimSun" w:cs="SimSun"/>
                <w:color w:val="auto"/>
                <w:spacing w:val="-1"/>
                <w:sz w:val="21"/>
                <w:szCs w:val="21"/>
              </w:rPr>
              <w:t>对未按规定作出食盐或非食用盐</w:t>
            </w:r>
            <w:r>
              <w:rPr>
                <w:rFonts w:ascii="SimSun" w:hAnsi="SimSun" w:eastAsia="SimSun" w:cs="SimSun"/>
                <w:color w:val="auto"/>
                <w:spacing w:val="5"/>
                <w:sz w:val="21"/>
                <w:szCs w:val="21"/>
              </w:rPr>
              <w:t xml:space="preserve"> </w:t>
            </w:r>
            <w:r>
              <w:rPr>
                <w:rFonts w:ascii="SimSun" w:hAnsi="SimSun" w:eastAsia="SimSun" w:cs="SimSun"/>
                <w:color w:val="auto"/>
                <w:spacing w:val="-2"/>
                <w:sz w:val="21"/>
                <w:szCs w:val="21"/>
              </w:rPr>
              <w:t>标识的行政检查</w:t>
            </w:r>
          </w:p>
        </w:tc>
        <w:tc>
          <w:tcPr>
            <w:tcW w:w="1769" w:type="dxa"/>
            <w:vAlign w:val="top"/>
          </w:tcPr>
          <w:p>
            <w:pPr>
              <w:spacing w:before="123" w:line="219" w:lineRule="auto"/>
              <w:ind w:left="246"/>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28" w:type="dxa"/>
            <w:vAlign w:val="top"/>
          </w:tcPr>
          <w:p>
            <w:pPr>
              <w:spacing w:before="122" w:line="219" w:lineRule="auto"/>
              <w:ind w:left="157"/>
              <w:rPr>
                <w:rFonts w:ascii="SimSun" w:hAnsi="SimSun" w:eastAsia="SimSun" w:cs="SimSun"/>
                <w:color w:val="auto"/>
                <w:sz w:val="21"/>
                <w:szCs w:val="21"/>
              </w:rPr>
            </w:pPr>
            <w:r>
              <w:rPr>
                <w:rFonts w:ascii="SimSun" w:hAnsi="SimSun" w:eastAsia="SimSun" w:cs="SimSun"/>
                <w:color w:val="auto"/>
                <w:spacing w:val="-2"/>
                <w:sz w:val="21"/>
                <w:szCs w:val="21"/>
              </w:rPr>
              <w:t>未被投诉、举报的企业</w:t>
            </w:r>
          </w:p>
        </w:tc>
        <w:tc>
          <w:tcPr>
            <w:tcW w:w="1753" w:type="dxa"/>
            <w:vAlign w:val="top"/>
          </w:tcPr>
          <w:p>
            <w:pPr>
              <w:spacing w:before="122"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双随机、一公开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864" w:type="dxa"/>
            <w:vMerge w:val="continue"/>
            <w:tcBorders>
              <w:top w:val="nil"/>
              <w:bottom w:val="nil"/>
            </w:tcBorders>
            <w:vAlign w:val="top"/>
          </w:tcPr>
          <w:p>
            <w:pPr>
              <w:pStyle w:val="25"/>
              <w:rPr>
                <w:color w:val="auto"/>
              </w:rPr>
            </w:pPr>
          </w:p>
        </w:tc>
        <w:tc>
          <w:tcPr>
            <w:tcW w:w="2358" w:type="dxa"/>
            <w:vMerge w:val="continue"/>
            <w:tcBorders>
              <w:top w:val="nil"/>
              <w:bottom w:val="nil"/>
            </w:tcBorders>
            <w:vAlign w:val="top"/>
          </w:tcPr>
          <w:p>
            <w:pPr>
              <w:pStyle w:val="25"/>
              <w:rPr>
                <w:color w:val="auto"/>
              </w:rPr>
            </w:pPr>
          </w:p>
        </w:tc>
        <w:tc>
          <w:tcPr>
            <w:tcW w:w="1449" w:type="dxa"/>
            <w:vMerge w:val="continue"/>
            <w:tcBorders>
              <w:top w:val="nil"/>
              <w:bottom w:val="nil"/>
            </w:tcBorders>
            <w:vAlign w:val="top"/>
          </w:tcPr>
          <w:p>
            <w:pPr>
              <w:pStyle w:val="25"/>
              <w:rPr>
                <w:color w:val="auto"/>
              </w:rPr>
            </w:pPr>
          </w:p>
        </w:tc>
        <w:tc>
          <w:tcPr>
            <w:tcW w:w="3188" w:type="dxa"/>
            <w:vMerge w:val="continue"/>
            <w:tcBorders>
              <w:top w:val="nil"/>
              <w:bottom w:val="nil"/>
            </w:tcBorders>
            <w:vAlign w:val="top"/>
          </w:tcPr>
          <w:p>
            <w:pPr>
              <w:pStyle w:val="25"/>
              <w:rPr>
                <w:color w:val="auto"/>
              </w:rPr>
            </w:pPr>
          </w:p>
        </w:tc>
        <w:tc>
          <w:tcPr>
            <w:tcW w:w="1769" w:type="dxa"/>
            <w:vAlign w:val="top"/>
          </w:tcPr>
          <w:p>
            <w:pPr>
              <w:spacing w:before="133" w:line="219" w:lineRule="auto"/>
              <w:ind w:left="246"/>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28" w:type="dxa"/>
            <w:vAlign w:val="top"/>
          </w:tcPr>
          <w:p>
            <w:pPr>
              <w:spacing w:before="132" w:line="219" w:lineRule="auto"/>
              <w:ind w:left="117"/>
              <w:rPr>
                <w:rFonts w:ascii="SimSun" w:hAnsi="SimSun" w:eastAsia="SimSun" w:cs="SimSun"/>
                <w:color w:val="auto"/>
                <w:sz w:val="21"/>
                <w:szCs w:val="21"/>
              </w:rPr>
            </w:pPr>
            <w:r>
              <w:rPr>
                <w:rFonts w:ascii="SimSun" w:hAnsi="SimSun" w:eastAsia="SimSun" w:cs="SimSun"/>
                <w:color w:val="auto"/>
                <w:spacing w:val="-1"/>
                <w:sz w:val="21"/>
                <w:szCs w:val="21"/>
              </w:rPr>
              <w:t>被投诉、举报的企业</w:t>
            </w:r>
          </w:p>
        </w:tc>
        <w:tc>
          <w:tcPr>
            <w:tcW w:w="1753" w:type="dxa"/>
            <w:vAlign w:val="top"/>
          </w:tcPr>
          <w:p>
            <w:pPr>
              <w:spacing w:before="133"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trPr>
        <w:tc>
          <w:tcPr>
            <w:tcW w:w="864" w:type="dxa"/>
            <w:vMerge w:val="continue"/>
            <w:tcBorders>
              <w:top w:val="nil"/>
              <w:bottom w:val="nil"/>
            </w:tcBorders>
            <w:vAlign w:val="top"/>
          </w:tcPr>
          <w:p>
            <w:pPr>
              <w:pStyle w:val="25"/>
              <w:rPr>
                <w:color w:val="auto"/>
              </w:rPr>
            </w:pPr>
          </w:p>
        </w:tc>
        <w:tc>
          <w:tcPr>
            <w:tcW w:w="2358" w:type="dxa"/>
            <w:vMerge w:val="continue"/>
            <w:tcBorders>
              <w:top w:val="nil"/>
              <w:bottom w:val="nil"/>
            </w:tcBorders>
            <w:vAlign w:val="top"/>
          </w:tcPr>
          <w:p>
            <w:pPr>
              <w:pStyle w:val="25"/>
              <w:rPr>
                <w:color w:val="auto"/>
              </w:rPr>
            </w:pPr>
          </w:p>
        </w:tc>
        <w:tc>
          <w:tcPr>
            <w:tcW w:w="1449" w:type="dxa"/>
            <w:vMerge w:val="continue"/>
            <w:tcBorders>
              <w:top w:val="nil"/>
            </w:tcBorders>
            <w:vAlign w:val="top"/>
          </w:tcPr>
          <w:p>
            <w:pPr>
              <w:pStyle w:val="25"/>
              <w:rPr>
                <w:color w:val="auto"/>
              </w:rPr>
            </w:pPr>
          </w:p>
        </w:tc>
        <w:tc>
          <w:tcPr>
            <w:tcW w:w="3188" w:type="dxa"/>
            <w:vMerge w:val="continue"/>
            <w:tcBorders>
              <w:top w:val="nil"/>
            </w:tcBorders>
            <w:vAlign w:val="top"/>
          </w:tcPr>
          <w:p>
            <w:pPr>
              <w:pStyle w:val="25"/>
              <w:rPr>
                <w:color w:val="auto"/>
              </w:rPr>
            </w:pPr>
          </w:p>
        </w:tc>
        <w:tc>
          <w:tcPr>
            <w:tcW w:w="1769" w:type="dxa"/>
            <w:vAlign w:val="top"/>
          </w:tcPr>
          <w:p>
            <w:pPr>
              <w:pStyle w:val="25"/>
              <w:spacing w:line="284" w:lineRule="auto"/>
              <w:rPr>
                <w:color w:val="auto"/>
              </w:rPr>
            </w:pPr>
          </w:p>
          <w:p>
            <w:pPr>
              <w:spacing w:before="69" w:line="219" w:lineRule="auto"/>
              <w:ind w:left="246"/>
              <w:rPr>
                <w:rFonts w:ascii="SimSun" w:hAnsi="SimSun" w:eastAsia="SimSun" w:cs="SimSun"/>
                <w:color w:val="auto"/>
                <w:sz w:val="21"/>
                <w:szCs w:val="21"/>
              </w:rPr>
            </w:pPr>
            <w:r>
              <w:rPr>
                <w:rFonts w:ascii="SimSun" w:hAnsi="SimSun" w:eastAsia="SimSun" w:cs="SimSun"/>
                <w:color w:val="auto"/>
                <w:spacing w:val="-2"/>
                <w:sz w:val="21"/>
                <w:szCs w:val="21"/>
              </w:rPr>
              <w:t>重点检查对象</w:t>
            </w:r>
          </w:p>
        </w:tc>
        <w:tc>
          <w:tcPr>
            <w:tcW w:w="2428" w:type="dxa"/>
            <w:vAlign w:val="top"/>
          </w:tcPr>
          <w:p>
            <w:pPr>
              <w:spacing w:before="42" w:line="251" w:lineRule="auto"/>
              <w:ind w:left="127" w:right="41" w:hanging="70"/>
              <w:rPr>
                <w:rFonts w:ascii="SimSun" w:hAnsi="SimSun" w:eastAsia="SimSun" w:cs="SimSun"/>
                <w:color w:val="auto"/>
                <w:sz w:val="21"/>
                <w:szCs w:val="21"/>
              </w:rPr>
            </w:pPr>
            <w:r>
              <w:rPr>
                <w:rFonts w:ascii="SimSun" w:hAnsi="SimSun" w:eastAsia="SimSun" w:cs="SimSun"/>
                <w:color w:val="auto"/>
                <w:sz w:val="21"/>
                <w:szCs w:val="21"/>
              </w:rPr>
              <w:t>多次被投诉、举报或社会</w:t>
            </w:r>
            <w:r>
              <w:rPr>
                <w:rFonts w:ascii="SimSun" w:hAnsi="SimSun" w:eastAsia="SimSun" w:cs="SimSun"/>
                <w:color w:val="auto"/>
                <w:spacing w:val="7"/>
                <w:sz w:val="21"/>
                <w:szCs w:val="21"/>
              </w:rPr>
              <w:t xml:space="preserve"> </w:t>
            </w:r>
            <w:r>
              <w:rPr>
                <w:rFonts w:ascii="SimSun" w:hAnsi="SimSun" w:eastAsia="SimSun" w:cs="SimSun"/>
                <w:color w:val="auto"/>
                <w:spacing w:val="2"/>
                <w:sz w:val="21"/>
                <w:szCs w:val="21"/>
              </w:rPr>
              <w:t>影响恶劣以及其他监管</w:t>
            </w:r>
            <w:r>
              <w:rPr>
                <w:rFonts w:ascii="SimSun" w:hAnsi="SimSun" w:eastAsia="SimSun" w:cs="SimSun"/>
                <w:color w:val="auto"/>
                <w:sz w:val="21"/>
                <w:szCs w:val="21"/>
              </w:rPr>
              <w:t xml:space="preserve">  </w:t>
            </w:r>
            <w:r>
              <w:rPr>
                <w:rFonts w:ascii="SimSun" w:hAnsi="SimSun" w:eastAsia="SimSun" w:cs="SimSun"/>
                <w:color w:val="auto"/>
                <w:spacing w:val="-2"/>
                <w:sz w:val="21"/>
                <w:szCs w:val="21"/>
              </w:rPr>
              <w:t>部门移交的企业</w:t>
            </w:r>
          </w:p>
        </w:tc>
        <w:tc>
          <w:tcPr>
            <w:tcW w:w="1753" w:type="dxa"/>
            <w:vAlign w:val="top"/>
          </w:tcPr>
          <w:p>
            <w:pPr>
              <w:pStyle w:val="25"/>
              <w:spacing w:line="284" w:lineRule="auto"/>
              <w:rPr>
                <w:color w:val="auto"/>
              </w:rPr>
            </w:pPr>
          </w:p>
          <w:p>
            <w:pPr>
              <w:spacing w:before="69"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864" w:type="dxa"/>
            <w:vMerge w:val="continue"/>
            <w:tcBorders>
              <w:top w:val="nil"/>
              <w:bottom w:val="nil"/>
            </w:tcBorders>
            <w:vAlign w:val="top"/>
          </w:tcPr>
          <w:p>
            <w:pPr>
              <w:pStyle w:val="25"/>
              <w:rPr>
                <w:color w:val="auto"/>
              </w:rPr>
            </w:pPr>
          </w:p>
        </w:tc>
        <w:tc>
          <w:tcPr>
            <w:tcW w:w="2358" w:type="dxa"/>
            <w:vMerge w:val="continue"/>
            <w:tcBorders>
              <w:top w:val="nil"/>
              <w:bottom w:val="nil"/>
            </w:tcBorders>
            <w:vAlign w:val="top"/>
          </w:tcPr>
          <w:p>
            <w:pPr>
              <w:pStyle w:val="25"/>
              <w:rPr>
                <w:color w:val="auto"/>
              </w:rPr>
            </w:pPr>
          </w:p>
        </w:tc>
        <w:tc>
          <w:tcPr>
            <w:tcW w:w="1449" w:type="dxa"/>
            <w:vMerge w:val="restart"/>
            <w:tcBorders>
              <w:bottom w:val="nil"/>
            </w:tcBorders>
            <w:vAlign w:val="top"/>
          </w:tcPr>
          <w:p>
            <w:pPr>
              <w:pStyle w:val="25"/>
              <w:spacing w:line="254" w:lineRule="auto"/>
              <w:rPr>
                <w:color w:val="auto"/>
              </w:rPr>
            </w:pPr>
          </w:p>
          <w:p>
            <w:pPr>
              <w:pStyle w:val="25"/>
              <w:spacing w:line="254" w:lineRule="auto"/>
              <w:rPr>
                <w:color w:val="auto"/>
              </w:rPr>
            </w:pPr>
          </w:p>
          <w:p>
            <w:pPr>
              <w:pStyle w:val="25"/>
              <w:spacing w:line="254" w:lineRule="auto"/>
              <w:rPr>
                <w:color w:val="auto"/>
              </w:rPr>
            </w:pPr>
          </w:p>
          <w:p>
            <w:pPr>
              <w:spacing w:before="69" w:line="219" w:lineRule="auto"/>
              <w:ind w:left="83"/>
              <w:rPr>
                <w:rFonts w:ascii="SimSun" w:hAnsi="SimSun" w:eastAsia="SimSun" w:cs="SimSun"/>
                <w:color w:val="auto"/>
                <w:sz w:val="21"/>
                <w:szCs w:val="21"/>
              </w:rPr>
            </w:pPr>
            <w:r>
              <w:rPr>
                <w:rFonts w:ascii="SimSun" w:hAnsi="SimSun" w:eastAsia="SimSun" w:cs="SimSun"/>
                <w:color w:val="auto"/>
                <w:spacing w:val="2"/>
                <w:sz w:val="21"/>
                <w:szCs w:val="21"/>
              </w:rPr>
              <w:t>重点检查事项</w:t>
            </w:r>
          </w:p>
        </w:tc>
        <w:tc>
          <w:tcPr>
            <w:tcW w:w="3188" w:type="dxa"/>
            <w:vMerge w:val="restart"/>
            <w:tcBorders>
              <w:bottom w:val="nil"/>
            </w:tcBorders>
            <w:vAlign w:val="top"/>
          </w:tcPr>
          <w:p>
            <w:pPr>
              <w:pStyle w:val="25"/>
              <w:spacing w:line="316" w:lineRule="auto"/>
              <w:rPr>
                <w:color w:val="auto"/>
              </w:rPr>
            </w:pPr>
          </w:p>
          <w:p>
            <w:pPr>
              <w:pStyle w:val="25"/>
              <w:spacing w:line="316" w:lineRule="auto"/>
              <w:rPr>
                <w:color w:val="auto"/>
              </w:rPr>
            </w:pPr>
          </w:p>
          <w:p>
            <w:pPr>
              <w:spacing w:before="69" w:line="233" w:lineRule="auto"/>
              <w:ind w:left="133" w:right="131" w:hanging="19"/>
              <w:rPr>
                <w:rFonts w:ascii="SimSun" w:hAnsi="SimSun" w:eastAsia="SimSun" w:cs="SimSun"/>
                <w:color w:val="auto"/>
                <w:sz w:val="21"/>
                <w:szCs w:val="21"/>
              </w:rPr>
            </w:pPr>
            <w:r>
              <w:rPr>
                <w:rFonts w:ascii="SimSun" w:hAnsi="SimSun" w:eastAsia="SimSun" w:cs="SimSun"/>
                <w:color w:val="auto"/>
                <w:spacing w:val="-1"/>
                <w:sz w:val="21"/>
                <w:szCs w:val="21"/>
              </w:rPr>
              <w:t>对非食盐定点生产企业生产食盐</w:t>
            </w:r>
            <w:r>
              <w:rPr>
                <w:rFonts w:ascii="SimSun" w:hAnsi="SimSun" w:eastAsia="SimSun" w:cs="SimSun"/>
                <w:color w:val="auto"/>
                <w:spacing w:val="5"/>
                <w:sz w:val="21"/>
                <w:szCs w:val="21"/>
              </w:rPr>
              <w:t xml:space="preserve"> </w:t>
            </w:r>
            <w:r>
              <w:rPr>
                <w:rFonts w:ascii="SimSun" w:hAnsi="SimSun" w:eastAsia="SimSun" w:cs="SimSun"/>
                <w:color w:val="auto"/>
                <w:spacing w:val="2"/>
                <w:sz w:val="21"/>
                <w:szCs w:val="21"/>
              </w:rPr>
              <w:t>的行政检查</w:t>
            </w:r>
          </w:p>
        </w:tc>
        <w:tc>
          <w:tcPr>
            <w:tcW w:w="1769" w:type="dxa"/>
            <w:vAlign w:val="top"/>
          </w:tcPr>
          <w:p>
            <w:pPr>
              <w:spacing w:before="145" w:line="219" w:lineRule="auto"/>
              <w:ind w:left="246"/>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28" w:type="dxa"/>
            <w:vAlign w:val="top"/>
          </w:tcPr>
          <w:p>
            <w:pPr>
              <w:spacing w:before="144" w:line="219" w:lineRule="auto"/>
              <w:ind w:left="157"/>
              <w:rPr>
                <w:rFonts w:ascii="SimSun" w:hAnsi="SimSun" w:eastAsia="SimSun" w:cs="SimSun"/>
                <w:color w:val="auto"/>
                <w:sz w:val="21"/>
                <w:szCs w:val="21"/>
              </w:rPr>
            </w:pPr>
            <w:r>
              <w:rPr>
                <w:rFonts w:ascii="SimSun" w:hAnsi="SimSun" w:eastAsia="SimSun" w:cs="SimSun"/>
                <w:color w:val="auto"/>
                <w:spacing w:val="-2"/>
                <w:sz w:val="21"/>
                <w:szCs w:val="21"/>
              </w:rPr>
              <w:t>未被投诉、举报的企业</w:t>
            </w:r>
          </w:p>
        </w:tc>
        <w:tc>
          <w:tcPr>
            <w:tcW w:w="1753" w:type="dxa"/>
            <w:vAlign w:val="top"/>
          </w:tcPr>
          <w:p>
            <w:pPr>
              <w:spacing w:before="144"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双随机、一公开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864" w:type="dxa"/>
            <w:vMerge w:val="continue"/>
            <w:tcBorders>
              <w:top w:val="nil"/>
              <w:bottom w:val="nil"/>
            </w:tcBorders>
            <w:vAlign w:val="top"/>
          </w:tcPr>
          <w:p>
            <w:pPr>
              <w:pStyle w:val="25"/>
              <w:rPr>
                <w:color w:val="auto"/>
              </w:rPr>
            </w:pPr>
          </w:p>
        </w:tc>
        <w:tc>
          <w:tcPr>
            <w:tcW w:w="2358" w:type="dxa"/>
            <w:vMerge w:val="continue"/>
            <w:tcBorders>
              <w:top w:val="nil"/>
              <w:bottom w:val="nil"/>
            </w:tcBorders>
            <w:vAlign w:val="top"/>
          </w:tcPr>
          <w:p>
            <w:pPr>
              <w:pStyle w:val="25"/>
              <w:rPr>
                <w:color w:val="auto"/>
              </w:rPr>
            </w:pPr>
          </w:p>
        </w:tc>
        <w:tc>
          <w:tcPr>
            <w:tcW w:w="1449" w:type="dxa"/>
            <w:vMerge w:val="continue"/>
            <w:tcBorders>
              <w:top w:val="nil"/>
              <w:bottom w:val="nil"/>
            </w:tcBorders>
            <w:vAlign w:val="top"/>
          </w:tcPr>
          <w:p>
            <w:pPr>
              <w:pStyle w:val="25"/>
              <w:rPr>
                <w:color w:val="auto"/>
              </w:rPr>
            </w:pPr>
          </w:p>
        </w:tc>
        <w:tc>
          <w:tcPr>
            <w:tcW w:w="3188" w:type="dxa"/>
            <w:vMerge w:val="continue"/>
            <w:tcBorders>
              <w:top w:val="nil"/>
              <w:bottom w:val="nil"/>
            </w:tcBorders>
            <w:vAlign w:val="top"/>
          </w:tcPr>
          <w:p>
            <w:pPr>
              <w:pStyle w:val="25"/>
              <w:rPr>
                <w:color w:val="auto"/>
              </w:rPr>
            </w:pPr>
          </w:p>
        </w:tc>
        <w:tc>
          <w:tcPr>
            <w:tcW w:w="1769" w:type="dxa"/>
            <w:vAlign w:val="top"/>
          </w:tcPr>
          <w:p>
            <w:pPr>
              <w:spacing w:before="136" w:line="219" w:lineRule="auto"/>
              <w:ind w:left="246"/>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28" w:type="dxa"/>
            <w:vAlign w:val="top"/>
          </w:tcPr>
          <w:p>
            <w:pPr>
              <w:spacing w:before="135" w:line="219" w:lineRule="auto"/>
              <w:ind w:left="117"/>
              <w:rPr>
                <w:rFonts w:ascii="SimSun" w:hAnsi="SimSun" w:eastAsia="SimSun" w:cs="SimSun"/>
                <w:color w:val="auto"/>
                <w:sz w:val="21"/>
                <w:szCs w:val="21"/>
              </w:rPr>
            </w:pPr>
            <w:r>
              <w:rPr>
                <w:rFonts w:ascii="SimSun" w:hAnsi="SimSun" w:eastAsia="SimSun" w:cs="SimSun"/>
                <w:color w:val="auto"/>
                <w:spacing w:val="-1"/>
                <w:sz w:val="21"/>
                <w:szCs w:val="21"/>
              </w:rPr>
              <w:t>被投诉、举报的企业</w:t>
            </w:r>
          </w:p>
        </w:tc>
        <w:tc>
          <w:tcPr>
            <w:tcW w:w="1753" w:type="dxa"/>
            <w:vAlign w:val="top"/>
          </w:tcPr>
          <w:p>
            <w:pPr>
              <w:spacing w:before="136"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4" w:hRule="atLeast"/>
        </w:trPr>
        <w:tc>
          <w:tcPr>
            <w:tcW w:w="864" w:type="dxa"/>
            <w:vMerge w:val="continue"/>
            <w:tcBorders>
              <w:top w:val="nil"/>
            </w:tcBorders>
            <w:vAlign w:val="top"/>
          </w:tcPr>
          <w:p>
            <w:pPr>
              <w:pStyle w:val="25"/>
              <w:rPr>
                <w:color w:val="auto"/>
              </w:rPr>
            </w:pPr>
          </w:p>
        </w:tc>
        <w:tc>
          <w:tcPr>
            <w:tcW w:w="2358" w:type="dxa"/>
            <w:vMerge w:val="continue"/>
            <w:tcBorders>
              <w:top w:val="nil"/>
            </w:tcBorders>
            <w:vAlign w:val="top"/>
          </w:tcPr>
          <w:p>
            <w:pPr>
              <w:pStyle w:val="25"/>
              <w:rPr>
                <w:color w:val="auto"/>
              </w:rPr>
            </w:pPr>
          </w:p>
        </w:tc>
        <w:tc>
          <w:tcPr>
            <w:tcW w:w="1449" w:type="dxa"/>
            <w:vMerge w:val="continue"/>
            <w:tcBorders>
              <w:top w:val="nil"/>
            </w:tcBorders>
            <w:vAlign w:val="top"/>
          </w:tcPr>
          <w:p>
            <w:pPr>
              <w:pStyle w:val="25"/>
              <w:rPr>
                <w:color w:val="auto"/>
              </w:rPr>
            </w:pPr>
          </w:p>
        </w:tc>
        <w:tc>
          <w:tcPr>
            <w:tcW w:w="3188" w:type="dxa"/>
            <w:vMerge w:val="continue"/>
            <w:tcBorders>
              <w:top w:val="nil"/>
            </w:tcBorders>
            <w:vAlign w:val="top"/>
          </w:tcPr>
          <w:p>
            <w:pPr>
              <w:pStyle w:val="25"/>
              <w:rPr>
                <w:color w:val="auto"/>
              </w:rPr>
            </w:pPr>
          </w:p>
        </w:tc>
        <w:tc>
          <w:tcPr>
            <w:tcW w:w="1769" w:type="dxa"/>
            <w:vAlign w:val="top"/>
          </w:tcPr>
          <w:p>
            <w:pPr>
              <w:pStyle w:val="25"/>
              <w:spacing w:line="287" w:lineRule="auto"/>
              <w:rPr>
                <w:color w:val="auto"/>
              </w:rPr>
            </w:pPr>
          </w:p>
          <w:p>
            <w:pPr>
              <w:spacing w:before="69" w:line="219" w:lineRule="auto"/>
              <w:ind w:left="246"/>
              <w:rPr>
                <w:rFonts w:ascii="SimSun" w:hAnsi="SimSun" w:eastAsia="SimSun" w:cs="SimSun"/>
                <w:color w:val="auto"/>
                <w:sz w:val="21"/>
                <w:szCs w:val="21"/>
              </w:rPr>
            </w:pPr>
            <w:r>
              <w:rPr>
                <w:rFonts w:ascii="SimSun" w:hAnsi="SimSun" w:eastAsia="SimSun" w:cs="SimSun"/>
                <w:color w:val="auto"/>
                <w:spacing w:val="-2"/>
                <w:sz w:val="21"/>
                <w:szCs w:val="21"/>
              </w:rPr>
              <w:t>重点检查对象</w:t>
            </w:r>
          </w:p>
        </w:tc>
        <w:tc>
          <w:tcPr>
            <w:tcW w:w="2428" w:type="dxa"/>
            <w:vAlign w:val="top"/>
          </w:tcPr>
          <w:p>
            <w:pPr>
              <w:spacing w:before="57" w:line="245" w:lineRule="auto"/>
              <w:ind w:left="136" w:right="41" w:hanging="79"/>
              <w:rPr>
                <w:rFonts w:ascii="SimSun" w:hAnsi="SimSun" w:eastAsia="SimSun" w:cs="SimSun"/>
                <w:color w:val="auto"/>
                <w:sz w:val="21"/>
                <w:szCs w:val="21"/>
              </w:rPr>
            </w:pPr>
            <w:r>
              <w:rPr>
                <w:rFonts w:ascii="SimSun" w:hAnsi="SimSun" w:eastAsia="SimSun" w:cs="SimSun"/>
                <w:color w:val="auto"/>
                <w:sz w:val="21"/>
                <w:szCs w:val="21"/>
              </w:rPr>
              <w:t>多次被投诉、举报或社会</w:t>
            </w:r>
            <w:r>
              <w:rPr>
                <w:rFonts w:ascii="SimSun" w:hAnsi="SimSun" w:eastAsia="SimSun" w:cs="SimSun"/>
                <w:color w:val="auto"/>
                <w:spacing w:val="7"/>
                <w:sz w:val="21"/>
                <w:szCs w:val="21"/>
              </w:rPr>
              <w:t xml:space="preserve"> </w:t>
            </w:r>
            <w:r>
              <w:rPr>
                <w:rFonts w:ascii="SimSun" w:hAnsi="SimSun" w:eastAsia="SimSun" w:cs="SimSun"/>
                <w:color w:val="auto"/>
                <w:spacing w:val="1"/>
                <w:sz w:val="21"/>
                <w:szCs w:val="21"/>
              </w:rPr>
              <w:t>影响恶劣以及其他监管</w:t>
            </w:r>
            <w:r>
              <w:rPr>
                <w:rFonts w:ascii="SimSun" w:hAnsi="SimSun" w:eastAsia="SimSun" w:cs="SimSun"/>
                <w:color w:val="auto"/>
                <w:sz w:val="21"/>
                <w:szCs w:val="21"/>
              </w:rPr>
              <w:t xml:space="preserve">  </w:t>
            </w:r>
            <w:r>
              <w:rPr>
                <w:rFonts w:ascii="SimSun" w:hAnsi="SimSun" w:eastAsia="SimSun" w:cs="SimSun"/>
                <w:color w:val="auto"/>
                <w:spacing w:val="-2"/>
                <w:sz w:val="21"/>
                <w:szCs w:val="21"/>
              </w:rPr>
              <w:t>部门移交的企业</w:t>
            </w:r>
          </w:p>
        </w:tc>
        <w:tc>
          <w:tcPr>
            <w:tcW w:w="1753" w:type="dxa"/>
            <w:vAlign w:val="top"/>
          </w:tcPr>
          <w:p>
            <w:pPr>
              <w:pStyle w:val="25"/>
              <w:spacing w:line="287" w:lineRule="auto"/>
              <w:rPr>
                <w:color w:val="auto"/>
              </w:rPr>
            </w:pPr>
          </w:p>
          <w:p>
            <w:pPr>
              <w:spacing w:before="69" w:line="219" w:lineRule="auto"/>
              <w:ind w:left="129"/>
              <w:rPr>
                <w:rFonts w:ascii="SimSun" w:hAnsi="SimSun" w:eastAsia="SimSun" w:cs="SimSun"/>
                <w:color w:val="auto"/>
                <w:sz w:val="21"/>
                <w:szCs w:val="21"/>
              </w:rPr>
            </w:pPr>
            <w:r>
              <w:rPr>
                <w:rFonts w:ascii="SimSun" w:hAnsi="SimSun" w:eastAsia="SimSun" w:cs="SimSun"/>
                <w:color w:val="auto"/>
                <w:spacing w:val="2"/>
                <w:sz w:val="21"/>
                <w:szCs w:val="21"/>
              </w:rPr>
              <w:t>定向检查</w:t>
            </w:r>
          </w:p>
        </w:tc>
      </w:tr>
    </w:tbl>
    <w:p>
      <w:pPr>
        <w:spacing w:line="182" w:lineRule="exact"/>
        <w:rPr>
          <w:rFonts w:ascii="Arial" w:hAnsi="Arial" w:eastAsia="Arial" w:cs="Arial"/>
          <w:color w:val="auto"/>
          <w:sz w:val="15"/>
          <w:szCs w:val="15"/>
        </w:rPr>
        <w:sectPr>
          <w:footerReference r:id="rId5" w:type="default"/>
          <w:pgSz w:w="16840" w:h="11910"/>
          <w:pgMar w:top="1012" w:right="1525" w:bottom="1592" w:left="1494" w:header="0" w:footer="1277" w:gutter="0"/>
          <w:cols w:space="720" w:num="1"/>
        </w:sectPr>
      </w:pPr>
    </w:p>
    <w:tbl>
      <w:tblPr>
        <w:tblStyle w:val="24"/>
        <w:tblW w:w="138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4"/>
        <w:gridCol w:w="2348"/>
        <w:gridCol w:w="1459"/>
        <w:gridCol w:w="3187"/>
        <w:gridCol w:w="1769"/>
        <w:gridCol w:w="2428"/>
        <w:gridCol w:w="1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864" w:type="dxa"/>
            <w:vAlign w:val="top"/>
          </w:tcPr>
          <w:p>
            <w:pPr>
              <w:spacing w:before="221" w:line="221" w:lineRule="auto"/>
              <w:ind w:left="217"/>
              <w:rPr>
                <w:rFonts w:ascii="SimSun" w:hAnsi="SimSun" w:eastAsia="SimSun" w:cs="SimSun"/>
                <w:color w:val="auto"/>
                <w:sz w:val="21"/>
                <w:szCs w:val="21"/>
              </w:rPr>
            </w:pPr>
            <w:r>
              <w:rPr>
                <w:rFonts w:ascii="SimSun" w:hAnsi="SimSun" w:eastAsia="SimSun" w:cs="SimSun"/>
                <w:b/>
                <w:bCs/>
                <w:color w:val="auto"/>
                <w:spacing w:val="-5"/>
                <w:sz w:val="21"/>
                <w:szCs w:val="21"/>
              </w:rPr>
              <w:t>序号</w:t>
            </w:r>
          </w:p>
        </w:tc>
        <w:tc>
          <w:tcPr>
            <w:tcW w:w="2348" w:type="dxa"/>
            <w:vAlign w:val="top"/>
          </w:tcPr>
          <w:p>
            <w:pPr>
              <w:spacing w:before="220" w:line="219" w:lineRule="auto"/>
              <w:ind w:left="533"/>
              <w:rPr>
                <w:rFonts w:ascii="SimSun" w:hAnsi="SimSun" w:eastAsia="SimSun" w:cs="SimSun"/>
                <w:color w:val="auto"/>
                <w:sz w:val="21"/>
                <w:szCs w:val="21"/>
              </w:rPr>
            </w:pPr>
            <w:r>
              <w:rPr>
                <w:rFonts w:ascii="SimSun" w:hAnsi="SimSun" w:eastAsia="SimSun" w:cs="SimSun"/>
                <w:b/>
                <w:bCs/>
                <w:color w:val="auto"/>
                <w:spacing w:val="-4"/>
                <w:sz w:val="21"/>
                <w:szCs w:val="21"/>
              </w:rPr>
              <w:t>检查事项名称</w:t>
            </w:r>
          </w:p>
        </w:tc>
        <w:tc>
          <w:tcPr>
            <w:tcW w:w="4646" w:type="dxa"/>
            <w:gridSpan w:val="2"/>
            <w:vAlign w:val="top"/>
          </w:tcPr>
          <w:p>
            <w:pPr>
              <w:spacing w:before="220" w:line="219" w:lineRule="auto"/>
              <w:ind w:left="1625"/>
              <w:rPr>
                <w:rFonts w:ascii="SimSun" w:hAnsi="SimSun" w:eastAsia="SimSun" w:cs="SimSun"/>
                <w:color w:val="auto"/>
                <w:sz w:val="21"/>
                <w:szCs w:val="21"/>
              </w:rPr>
            </w:pPr>
            <w:r>
              <w:rPr>
                <w:rFonts w:ascii="SimSun" w:hAnsi="SimSun" w:eastAsia="SimSun" w:cs="SimSun"/>
                <w:b/>
                <w:bCs/>
                <w:color w:val="auto"/>
                <w:spacing w:val="-4"/>
                <w:sz w:val="21"/>
                <w:szCs w:val="21"/>
              </w:rPr>
              <w:t>检查事项划分</w:t>
            </w:r>
          </w:p>
        </w:tc>
        <w:tc>
          <w:tcPr>
            <w:tcW w:w="4197" w:type="dxa"/>
            <w:gridSpan w:val="2"/>
            <w:vAlign w:val="top"/>
          </w:tcPr>
          <w:p>
            <w:pPr>
              <w:spacing w:before="220" w:line="219" w:lineRule="auto"/>
              <w:ind w:left="1639"/>
              <w:rPr>
                <w:rFonts w:ascii="SimSun" w:hAnsi="SimSun" w:eastAsia="SimSun" w:cs="SimSun"/>
                <w:color w:val="auto"/>
                <w:sz w:val="21"/>
                <w:szCs w:val="21"/>
              </w:rPr>
            </w:pPr>
            <w:r>
              <w:rPr>
                <w:rFonts w:ascii="SimSun" w:hAnsi="SimSun" w:eastAsia="SimSun" w:cs="SimSun"/>
                <w:b/>
                <w:bCs/>
                <w:color w:val="auto"/>
                <w:spacing w:val="-4"/>
                <w:sz w:val="21"/>
                <w:szCs w:val="21"/>
              </w:rPr>
              <w:t>对象划分</w:t>
            </w:r>
          </w:p>
        </w:tc>
        <w:tc>
          <w:tcPr>
            <w:tcW w:w="1754" w:type="dxa"/>
            <w:vAlign w:val="top"/>
          </w:tcPr>
          <w:p>
            <w:pPr>
              <w:spacing w:before="220" w:line="219" w:lineRule="auto"/>
              <w:ind w:left="422"/>
              <w:rPr>
                <w:rFonts w:ascii="SimSun" w:hAnsi="SimSun" w:eastAsia="SimSun" w:cs="SimSun"/>
                <w:color w:val="auto"/>
                <w:sz w:val="21"/>
                <w:szCs w:val="21"/>
              </w:rPr>
            </w:pPr>
            <w:r>
              <w:rPr>
                <w:rFonts w:ascii="SimSun" w:hAnsi="SimSun" w:eastAsia="SimSun" w:cs="SimSun"/>
                <w:b/>
                <w:bCs/>
                <w:color w:val="auto"/>
                <w:spacing w:val="-4"/>
                <w:sz w:val="21"/>
                <w:szCs w:val="21"/>
              </w:rPr>
              <w:t>监管方式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864" w:type="dxa"/>
            <w:vMerge w:val="restart"/>
            <w:tcBorders>
              <w:bottom w:val="nil"/>
            </w:tcBorders>
            <w:vAlign w:val="top"/>
          </w:tcPr>
          <w:p>
            <w:pPr>
              <w:pStyle w:val="25"/>
              <w:spacing w:line="276" w:lineRule="auto"/>
              <w:rPr>
                <w:color w:val="auto"/>
                <w:sz w:val="21"/>
                <w:szCs w:val="21"/>
              </w:rPr>
            </w:pPr>
          </w:p>
          <w:p>
            <w:pPr>
              <w:pStyle w:val="25"/>
              <w:spacing w:line="277" w:lineRule="auto"/>
              <w:rPr>
                <w:color w:val="auto"/>
                <w:sz w:val="21"/>
                <w:szCs w:val="21"/>
              </w:rPr>
            </w:pPr>
          </w:p>
          <w:p>
            <w:pPr>
              <w:pStyle w:val="25"/>
              <w:spacing w:line="277" w:lineRule="auto"/>
              <w:rPr>
                <w:color w:val="auto"/>
                <w:sz w:val="21"/>
                <w:szCs w:val="21"/>
              </w:rPr>
            </w:pPr>
          </w:p>
          <w:p>
            <w:pPr>
              <w:spacing w:before="68" w:line="183" w:lineRule="auto"/>
              <w:ind w:left="364"/>
              <w:rPr>
                <w:rFonts w:ascii="SimSun" w:hAnsi="SimSun" w:eastAsia="SimSun" w:cs="SimSun"/>
                <w:color w:val="auto"/>
                <w:sz w:val="21"/>
                <w:szCs w:val="21"/>
              </w:rPr>
            </w:pPr>
            <w:r>
              <w:rPr>
                <w:rFonts w:ascii="SimSun" w:hAnsi="SimSun" w:eastAsia="SimSun" w:cs="SimSun"/>
                <w:color w:val="auto"/>
                <w:sz w:val="21"/>
                <w:szCs w:val="21"/>
              </w:rPr>
              <w:t>2</w:t>
            </w:r>
          </w:p>
        </w:tc>
        <w:tc>
          <w:tcPr>
            <w:tcW w:w="2348" w:type="dxa"/>
            <w:vMerge w:val="restart"/>
            <w:tcBorders>
              <w:bottom w:val="nil"/>
            </w:tcBorders>
            <w:vAlign w:val="top"/>
          </w:tcPr>
          <w:p>
            <w:pPr>
              <w:pStyle w:val="25"/>
              <w:spacing w:line="318" w:lineRule="auto"/>
              <w:rPr>
                <w:color w:val="auto"/>
                <w:sz w:val="21"/>
                <w:szCs w:val="21"/>
              </w:rPr>
            </w:pPr>
          </w:p>
          <w:p>
            <w:pPr>
              <w:pStyle w:val="25"/>
              <w:spacing w:line="318" w:lineRule="auto"/>
              <w:rPr>
                <w:color w:val="auto"/>
                <w:sz w:val="21"/>
                <w:szCs w:val="21"/>
              </w:rPr>
            </w:pPr>
          </w:p>
          <w:p>
            <w:pPr>
              <w:spacing w:before="68" w:line="242" w:lineRule="auto"/>
              <w:ind w:left="110" w:right="134"/>
              <w:rPr>
                <w:rFonts w:ascii="SimSun" w:hAnsi="SimSun" w:eastAsia="SimSun" w:cs="SimSun"/>
                <w:color w:val="auto"/>
                <w:sz w:val="21"/>
                <w:szCs w:val="21"/>
              </w:rPr>
            </w:pPr>
            <w:r>
              <w:rPr>
                <w:rFonts w:ascii="SimSun" w:hAnsi="SimSun" w:eastAsia="SimSun" w:cs="SimSun"/>
                <w:color w:val="auto"/>
                <w:spacing w:val="-1"/>
                <w:sz w:val="21"/>
                <w:szCs w:val="21"/>
              </w:rPr>
              <w:t>对涉盐生产经营有关单</w:t>
            </w:r>
            <w:r>
              <w:rPr>
                <w:rFonts w:ascii="SimSun" w:hAnsi="SimSun" w:eastAsia="SimSun" w:cs="SimSun"/>
                <w:color w:val="auto"/>
                <w:spacing w:val="1"/>
                <w:sz w:val="21"/>
                <w:szCs w:val="21"/>
              </w:rPr>
              <w:t xml:space="preserve"> </w:t>
            </w:r>
            <w:r>
              <w:rPr>
                <w:rFonts w:ascii="SimSun" w:hAnsi="SimSun" w:eastAsia="SimSun" w:cs="SimSun"/>
                <w:color w:val="auto"/>
                <w:spacing w:val="-1"/>
                <w:sz w:val="21"/>
                <w:szCs w:val="21"/>
              </w:rPr>
              <w:t>位、个人开展监督检查</w:t>
            </w:r>
          </w:p>
        </w:tc>
        <w:tc>
          <w:tcPr>
            <w:tcW w:w="1459" w:type="dxa"/>
            <w:vMerge w:val="restart"/>
            <w:tcBorders>
              <w:bottom w:val="nil"/>
            </w:tcBorders>
            <w:vAlign w:val="top"/>
          </w:tcPr>
          <w:p>
            <w:pPr>
              <w:pStyle w:val="25"/>
              <w:spacing w:line="258" w:lineRule="auto"/>
              <w:rPr>
                <w:color w:val="auto"/>
                <w:sz w:val="21"/>
                <w:szCs w:val="21"/>
              </w:rPr>
            </w:pPr>
          </w:p>
          <w:p>
            <w:pPr>
              <w:pStyle w:val="25"/>
              <w:spacing w:line="259" w:lineRule="auto"/>
              <w:rPr>
                <w:color w:val="auto"/>
                <w:sz w:val="21"/>
                <w:szCs w:val="21"/>
              </w:rPr>
            </w:pPr>
          </w:p>
          <w:p>
            <w:pPr>
              <w:pStyle w:val="25"/>
              <w:spacing w:line="259" w:lineRule="auto"/>
              <w:rPr>
                <w:color w:val="auto"/>
                <w:sz w:val="21"/>
                <w:szCs w:val="21"/>
              </w:rPr>
            </w:pPr>
          </w:p>
          <w:p>
            <w:pPr>
              <w:spacing w:before="69" w:line="219" w:lineRule="auto"/>
              <w:ind w:left="92"/>
              <w:rPr>
                <w:rFonts w:ascii="SimSun" w:hAnsi="SimSun" w:eastAsia="SimSun" w:cs="SimSun"/>
                <w:color w:val="auto"/>
                <w:sz w:val="21"/>
                <w:szCs w:val="21"/>
              </w:rPr>
            </w:pPr>
            <w:r>
              <w:rPr>
                <w:rFonts w:ascii="SimSun" w:hAnsi="SimSun" w:eastAsia="SimSun" w:cs="SimSun"/>
                <w:color w:val="auto"/>
                <w:spacing w:val="2"/>
                <w:sz w:val="21"/>
                <w:szCs w:val="21"/>
              </w:rPr>
              <w:t>重点检查事项</w:t>
            </w:r>
          </w:p>
        </w:tc>
        <w:tc>
          <w:tcPr>
            <w:tcW w:w="3187" w:type="dxa"/>
            <w:vMerge w:val="restart"/>
            <w:tcBorders>
              <w:bottom w:val="nil"/>
            </w:tcBorders>
            <w:vAlign w:val="top"/>
          </w:tcPr>
          <w:p>
            <w:pPr>
              <w:pStyle w:val="25"/>
              <w:spacing w:line="318" w:lineRule="auto"/>
              <w:rPr>
                <w:color w:val="auto"/>
                <w:sz w:val="21"/>
                <w:szCs w:val="21"/>
              </w:rPr>
            </w:pPr>
          </w:p>
          <w:p>
            <w:pPr>
              <w:pStyle w:val="25"/>
              <w:spacing w:line="319" w:lineRule="auto"/>
              <w:rPr>
                <w:color w:val="auto"/>
                <w:sz w:val="21"/>
                <w:szCs w:val="21"/>
              </w:rPr>
            </w:pPr>
          </w:p>
          <w:p>
            <w:pPr>
              <w:spacing w:before="68" w:line="224" w:lineRule="auto"/>
              <w:ind w:left="103" w:right="130" w:firstLine="10"/>
              <w:rPr>
                <w:rFonts w:ascii="SimSun" w:hAnsi="SimSun" w:eastAsia="SimSun" w:cs="SimSun"/>
                <w:color w:val="auto"/>
                <w:sz w:val="21"/>
                <w:szCs w:val="21"/>
              </w:rPr>
            </w:pPr>
            <w:r>
              <w:rPr>
                <w:rFonts w:ascii="SimSun" w:hAnsi="SimSun" w:eastAsia="SimSun" w:cs="SimSun"/>
                <w:color w:val="auto"/>
                <w:spacing w:val="-1"/>
                <w:sz w:val="21"/>
                <w:szCs w:val="21"/>
              </w:rPr>
              <w:t>对将非食用盐作为食盐销售的行</w:t>
            </w:r>
            <w:r>
              <w:rPr>
                <w:rFonts w:ascii="SimSun" w:hAnsi="SimSun" w:eastAsia="SimSun" w:cs="SimSun"/>
                <w:color w:val="auto"/>
                <w:spacing w:val="5"/>
                <w:sz w:val="21"/>
                <w:szCs w:val="21"/>
              </w:rPr>
              <w:t xml:space="preserve"> </w:t>
            </w:r>
            <w:r>
              <w:rPr>
                <w:rFonts w:ascii="SimSun" w:hAnsi="SimSun" w:eastAsia="SimSun" w:cs="SimSun"/>
                <w:color w:val="auto"/>
                <w:spacing w:val="-2"/>
                <w:sz w:val="21"/>
                <w:szCs w:val="21"/>
              </w:rPr>
              <w:t>政检查</w:t>
            </w:r>
          </w:p>
        </w:tc>
        <w:tc>
          <w:tcPr>
            <w:tcW w:w="1769" w:type="dxa"/>
            <w:vAlign w:val="top"/>
          </w:tcPr>
          <w:p>
            <w:pPr>
              <w:spacing w:before="109" w:line="219" w:lineRule="auto"/>
              <w:ind w:left="246"/>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28" w:type="dxa"/>
            <w:vAlign w:val="top"/>
          </w:tcPr>
          <w:p>
            <w:pPr>
              <w:spacing w:before="108" w:line="219" w:lineRule="auto"/>
              <w:ind w:left="157"/>
              <w:rPr>
                <w:rFonts w:ascii="SimSun" w:hAnsi="SimSun" w:eastAsia="SimSun" w:cs="SimSun"/>
                <w:color w:val="auto"/>
                <w:sz w:val="21"/>
                <w:szCs w:val="21"/>
              </w:rPr>
            </w:pPr>
            <w:r>
              <w:rPr>
                <w:rFonts w:ascii="SimSun" w:hAnsi="SimSun" w:eastAsia="SimSun" w:cs="SimSun"/>
                <w:color w:val="auto"/>
                <w:spacing w:val="-2"/>
                <w:sz w:val="21"/>
                <w:szCs w:val="21"/>
              </w:rPr>
              <w:t>未被投诉、举报的企业</w:t>
            </w:r>
          </w:p>
        </w:tc>
        <w:tc>
          <w:tcPr>
            <w:tcW w:w="1754" w:type="dxa"/>
            <w:vAlign w:val="top"/>
          </w:tcPr>
          <w:p>
            <w:pPr>
              <w:spacing w:before="108" w:line="219" w:lineRule="auto"/>
              <w:ind w:left="119"/>
              <w:rPr>
                <w:rFonts w:ascii="SimSun" w:hAnsi="SimSun" w:eastAsia="SimSun" w:cs="SimSun"/>
                <w:color w:val="auto"/>
                <w:sz w:val="21"/>
                <w:szCs w:val="21"/>
              </w:rPr>
            </w:pPr>
            <w:r>
              <w:rPr>
                <w:rFonts w:ascii="SimSun" w:hAnsi="SimSun" w:eastAsia="SimSun" w:cs="SimSun"/>
                <w:color w:val="auto"/>
                <w:spacing w:val="-2"/>
                <w:sz w:val="21"/>
                <w:szCs w:val="21"/>
              </w:rPr>
              <w:t>双随机、一公开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864" w:type="dxa"/>
            <w:vMerge w:val="continue"/>
            <w:tcBorders>
              <w:top w:val="nil"/>
              <w:bottom w:val="nil"/>
            </w:tcBorders>
            <w:vAlign w:val="top"/>
          </w:tcPr>
          <w:p>
            <w:pPr>
              <w:pStyle w:val="25"/>
              <w:rPr>
                <w:color w:val="auto"/>
                <w:sz w:val="21"/>
                <w:szCs w:val="21"/>
              </w:rPr>
            </w:pPr>
          </w:p>
        </w:tc>
        <w:tc>
          <w:tcPr>
            <w:tcW w:w="2348" w:type="dxa"/>
            <w:vMerge w:val="continue"/>
            <w:tcBorders>
              <w:top w:val="nil"/>
              <w:bottom w:val="nil"/>
            </w:tcBorders>
            <w:vAlign w:val="top"/>
          </w:tcPr>
          <w:p>
            <w:pPr>
              <w:pStyle w:val="25"/>
              <w:rPr>
                <w:color w:val="auto"/>
                <w:sz w:val="21"/>
                <w:szCs w:val="21"/>
              </w:rPr>
            </w:pPr>
          </w:p>
        </w:tc>
        <w:tc>
          <w:tcPr>
            <w:tcW w:w="1459" w:type="dxa"/>
            <w:vMerge w:val="continue"/>
            <w:tcBorders>
              <w:top w:val="nil"/>
              <w:bottom w:val="nil"/>
            </w:tcBorders>
            <w:vAlign w:val="top"/>
          </w:tcPr>
          <w:p>
            <w:pPr>
              <w:pStyle w:val="25"/>
              <w:rPr>
                <w:color w:val="auto"/>
                <w:sz w:val="21"/>
                <w:szCs w:val="21"/>
              </w:rPr>
            </w:pPr>
          </w:p>
        </w:tc>
        <w:tc>
          <w:tcPr>
            <w:tcW w:w="3187" w:type="dxa"/>
            <w:vMerge w:val="continue"/>
            <w:tcBorders>
              <w:top w:val="nil"/>
              <w:bottom w:val="nil"/>
            </w:tcBorders>
            <w:vAlign w:val="top"/>
          </w:tcPr>
          <w:p>
            <w:pPr>
              <w:pStyle w:val="25"/>
              <w:rPr>
                <w:color w:val="auto"/>
                <w:sz w:val="21"/>
                <w:szCs w:val="21"/>
              </w:rPr>
            </w:pPr>
          </w:p>
        </w:tc>
        <w:tc>
          <w:tcPr>
            <w:tcW w:w="1769" w:type="dxa"/>
            <w:vAlign w:val="top"/>
          </w:tcPr>
          <w:p>
            <w:pPr>
              <w:spacing w:before="179" w:line="219" w:lineRule="auto"/>
              <w:ind w:left="246"/>
              <w:rPr>
                <w:rFonts w:ascii="SimSun" w:hAnsi="SimSun" w:eastAsia="SimSun" w:cs="SimSun"/>
                <w:color w:val="auto"/>
                <w:sz w:val="21"/>
                <w:szCs w:val="21"/>
              </w:rPr>
            </w:pPr>
            <w:r>
              <w:rPr>
                <w:rFonts w:ascii="SimSun" w:hAnsi="SimSun" w:eastAsia="SimSun" w:cs="SimSun"/>
                <w:color w:val="auto"/>
                <w:spacing w:val="1"/>
                <w:sz w:val="21"/>
                <w:szCs w:val="21"/>
              </w:rPr>
              <w:t>一般检查对象</w:t>
            </w:r>
          </w:p>
        </w:tc>
        <w:tc>
          <w:tcPr>
            <w:tcW w:w="2428" w:type="dxa"/>
            <w:vAlign w:val="top"/>
          </w:tcPr>
          <w:p>
            <w:pPr>
              <w:spacing w:before="178" w:line="219" w:lineRule="auto"/>
              <w:ind w:left="127"/>
              <w:rPr>
                <w:rFonts w:ascii="SimSun" w:hAnsi="SimSun" w:eastAsia="SimSun" w:cs="SimSun"/>
                <w:color w:val="auto"/>
                <w:sz w:val="21"/>
                <w:szCs w:val="21"/>
              </w:rPr>
            </w:pPr>
            <w:r>
              <w:rPr>
                <w:rFonts w:ascii="SimSun" w:hAnsi="SimSun" w:eastAsia="SimSun" w:cs="SimSun"/>
                <w:color w:val="auto"/>
                <w:spacing w:val="-1"/>
                <w:sz w:val="21"/>
                <w:szCs w:val="21"/>
              </w:rPr>
              <w:t>被投诉、举报的企业</w:t>
            </w:r>
          </w:p>
        </w:tc>
        <w:tc>
          <w:tcPr>
            <w:tcW w:w="1754" w:type="dxa"/>
            <w:vAlign w:val="top"/>
          </w:tcPr>
          <w:p>
            <w:pPr>
              <w:spacing w:before="179" w:line="219" w:lineRule="auto"/>
              <w:ind w:left="11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864" w:type="dxa"/>
            <w:vMerge w:val="continue"/>
            <w:tcBorders>
              <w:top w:val="nil"/>
              <w:bottom w:val="single" w:color="auto" w:sz="4" w:space="0"/>
            </w:tcBorders>
            <w:vAlign w:val="top"/>
          </w:tcPr>
          <w:p>
            <w:pPr>
              <w:pStyle w:val="25"/>
              <w:rPr>
                <w:color w:val="auto"/>
                <w:sz w:val="21"/>
                <w:szCs w:val="21"/>
              </w:rPr>
            </w:pPr>
          </w:p>
        </w:tc>
        <w:tc>
          <w:tcPr>
            <w:tcW w:w="2348" w:type="dxa"/>
            <w:vMerge w:val="continue"/>
            <w:tcBorders>
              <w:top w:val="nil"/>
              <w:bottom w:val="single" w:color="auto" w:sz="4" w:space="0"/>
            </w:tcBorders>
            <w:vAlign w:val="top"/>
          </w:tcPr>
          <w:p>
            <w:pPr>
              <w:pStyle w:val="25"/>
              <w:rPr>
                <w:color w:val="auto"/>
                <w:sz w:val="21"/>
                <w:szCs w:val="21"/>
              </w:rPr>
            </w:pPr>
          </w:p>
        </w:tc>
        <w:tc>
          <w:tcPr>
            <w:tcW w:w="1459" w:type="dxa"/>
            <w:vMerge w:val="continue"/>
            <w:tcBorders>
              <w:top w:val="nil"/>
              <w:bottom w:val="single" w:color="auto" w:sz="4" w:space="0"/>
            </w:tcBorders>
            <w:vAlign w:val="top"/>
          </w:tcPr>
          <w:p>
            <w:pPr>
              <w:pStyle w:val="25"/>
              <w:rPr>
                <w:color w:val="auto"/>
                <w:sz w:val="21"/>
                <w:szCs w:val="21"/>
              </w:rPr>
            </w:pPr>
          </w:p>
        </w:tc>
        <w:tc>
          <w:tcPr>
            <w:tcW w:w="3187" w:type="dxa"/>
            <w:vMerge w:val="continue"/>
            <w:tcBorders>
              <w:top w:val="nil"/>
              <w:bottom w:val="single" w:color="auto" w:sz="4" w:space="0"/>
            </w:tcBorders>
            <w:vAlign w:val="top"/>
          </w:tcPr>
          <w:p>
            <w:pPr>
              <w:pStyle w:val="25"/>
              <w:rPr>
                <w:color w:val="auto"/>
                <w:sz w:val="21"/>
                <w:szCs w:val="21"/>
              </w:rPr>
            </w:pPr>
          </w:p>
        </w:tc>
        <w:tc>
          <w:tcPr>
            <w:tcW w:w="1769" w:type="dxa"/>
            <w:tcBorders>
              <w:bottom w:val="single" w:color="auto" w:sz="4" w:space="0"/>
            </w:tcBorders>
            <w:vAlign w:val="top"/>
          </w:tcPr>
          <w:p>
            <w:pPr>
              <w:pStyle w:val="25"/>
              <w:spacing w:line="280" w:lineRule="auto"/>
              <w:rPr>
                <w:color w:val="auto"/>
                <w:sz w:val="21"/>
                <w:szCs w:val="21"/>
              </w:rPr>
            </w:pPr>
          </w:p>
          <w:p>
            <w:pPr>
              <w:spacing w:before="69" w:line="219" w:lineRule="auto"/>
              <w:ind w:left="246"/>
              <w:rPr>
                <w:rFonts w:ascii="SimSun" w:hAnsi="SimSun" w:eastAsia="SimSun" w:cs="SimSun"/>
                <w:color w:val="auto"/>
                <w:sz w:val="21"/>
                <w:szCs w:val="21"/>
              </w:rPr>
            </w:pPr>
            <w:r>
              <w:rPr>
                <w:rFonts w:ascii="SimSun" w:hAnsi="SimSun" w:eastAsia="SimSun" w:cs="SimSun"/>
                <w:color w:val="auto"/>
                <w:spacing w:val="-2"/>
                <w:sz w:val="21"/>
                <w:szCs w:val="21"/>
              </w:rPr>
              <w:t>重点检查对象</w:t>
            </w:r>
          </w:p>
        </w:tc>
        <w:tc>
          <w:tcPr>
            <w:tcW w:w="2428" w:type="dxa"/>
            <w:tcBorders>
              <w:bottom w:val="single" w:color="auto" w:sz="4" w:space="0"/>
            </w:tcBorders>
            <w:vAlign w:val="top"/>
          </w:tcPr>
          <w:p>
            <w:pPr>
              <w:spacing w:before="49" w:line="246" w:lineRule="auto"/>
              <w:ind w:left="127" w:right="41" w:hanging="70"/>
              <w:rPr>
                <w:rFonts w:ascii="SimSun" w:hAnsi="SimSun" w:eastAsia="SimSun" w:cs="SimSun"/>
                <w:color w:val="auto"/>
                <w:sz w:val="21"/>
                <w:szCs w:val="21"/>
              </w:rPr>
            </w:pPr>
            <w:r>
              <w:rPr>
                <w:rFonts w:ascii="SimSun" w:hAnsi="SimSun" w:eastAsia="SimSun" w:cs="SimSun"/>
                <w:color w:val="auto"/>
                <w:sz w:val="21"/>
                <w:szCs w:val="21"/>
              </w:rPr>
              <w:t>多次被投诉、举报或社会</w:t>
            </w:r>
            <w:r>
              <w:rPr>
                <w:rFonts w:ascii="SimSun" w:hAnsi="SimSun" w:eastAsia="SimSun" w:cs="SimSun"/>
                <w:color w:val="auto"/>
                <w:spacing w:val="7"/>
                <w:sz w:val="21"/>
                <w:szCs w:val="21"/>
              </w:rPr>
              <w:t xml:space="preserve"> </w:t>
            </w:r>
            <w:r>
              <w:rPr>
                <w:rFonts w:ascii="SimSun" w:hAnsi="SimSun" w:eastAsia="SimSun" w:cs="SimSun"/>
                <w:color w:val="auto"/>
                <w:spacing w:val="2"/>
                <w:sz w:val="21"/>
                <w:szCs w:val="21"/>
              </w:rPr>
              <w:t>影响恶劣以及其他监管</w:t>
            </w:r>
            <w:r>
              <w:rPr>
                <w:rFonts w:ascii="SimSun" w:hAnsi="SimSun" w:eastAsia="SimSun" w:cs="SimSun"/>
                <w:color w:val="auto"/>
                <w:sz w:val="21"/>
                <w:szCs w:val="21"/>
              </w:rPr>
              <w:t xml:space="preserve">  </w:t>
            </w:r>
            <w:r>
              <w:rPr>
                <w:rFonts w:ascii="SimSun" w:hAnsi="SimSun" w:eastAsia="SimSun" w:cs="SimSun"/>
                <w:color w:val="auto"/>
                <w:spacing w:val="-2"/>
                <w:sz w:val="21"/>
                <w:szCs w:val="21"/>
              </w:rPr>
              <w:t>部门移交的企业</w:t>
            </w:r>
          </w:p>
        </w:tc>
        <w:tc>
          <w:tcPr>
            <w:tcW w:w="1754" w:type="dxa"/>
            <w:tcBorders>
              <w:bottom w:val="single" w:color="auto" w:sz="4" w:space="0"/>
            </w:tcBorders>
            <w:vAlign w:val="top"/>
          </w:tcPr>
          <w:p>
            <w:pPr>
              <w:pStyle w:val="25"/>
              <w:spacing w:line="280" w:lineRule="auto"/>
              <w:rPr>
                <w:color w:val="auto"/>
                <w:sz w:val="21"/>
                <w:szCs w:val="21"/>
              </w:rPr>
            </w:pPr>
          </w:p>
          <w:p>
            <w:pPr>
              <w:spacing w:before="69" w:line="219" w:lineRule="auto"/>
              <w:ind w:left="119"/>
              <w:rPr>
                <w:rFonts w:ascii="SimSun" w:hAnsi="SimSun" w:eastAsia="SimSun" w:cs="SimSun"/>
                <w:color w:val="auto"/>
                <w:sz w:val="21"/>
                <w:szCs w:val="21"/>
              </w:rPr>
            </w:pPr>
            <w:r>
              <w:rPr>
                <w:rFonts w:ascii="SimSun" w:hAnsi="SimSun" w:eastAsia="SimSun" w:cs="SimSun"/>
                <w:color w:val="auto"/>
                <w:spacing w:val="2"/>
                <w:sz w:val="21"/>
                <w:szCs w:val="21"/>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864" w:type="dxa"/>
            <w:vMerge w:val="restart"/>
            <w:tcBorders>
              <w:top w:val="single" w:color="auto" w:sz="4" w:space="0"/>
              <w:left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zh-CN" w:bidi="ar-SA"/>
              </w:rPr>
            </w:pPr>
            <w:r>
              <w:rPr>
                <w:rFonts w:hint="eastAsia" w:ascii="宋体" w:hAnsi="宋体" w:eastAsia="宋体" w:cs="宋体"/>
                <w:snapToGrid w:val="0"/>
                <w:color w:val="auto"/>
                <w:spacing w:val="-1"/>
                <w:kern w:val="0"/>
                <w:sz w:val="21"/>
                <w:szCs w:val="21"/>
                <w:lang w:val="en-US" w:eastAsia="zh-CN" w:bidi="ar-SA"/>
              </w:rPr>
              <w:t>3</w:t>
            </w:r>
          </w:p>
        </w:tc>
        <w:tc>
          <w:tcPr>
            <w:tcW w:w="2348" w:type="dxa"/>
            <w:vMerge w:val="restart"/>
            <w:tcBorders>
              <w:top w:val="single" w:color="auto" w:sz="4" w:space="0"/>
              <w:left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snapToGrid w:val="0"/>
                <w:color w:val="auto"/>
                <w:spacing w:val="-1"/>
                <w:kern w:val="0"/>
                <w:sz w:val="21"/>
                <w:szCs w:val="21"/>
                <w:lang w:val="en-US" w:eastAsia="en-US" w:bidi="ar-SA"/>
              </w:rPr>
              <w:t>对民用爆炸物品销售许可的行政检查</w:t>
            </w:r>
          </w:p>
        </w:tc>
        <w:tc>
          <w:tcPr>
            <w:tcW w:w="1459" w:type="dxa"/>
            <w:vMerge w:val="restart"/>
            <w:tcBorders>
              <w:top w:val="single" w:color="auto" w:sz="4" w:space="0"/>
              <w:left w:val="single" w:color="auto" w:sz="4" w:space="0"/>
              <w:right w:val="single" w:color="auto" w:sz="4" w:space="0"/>
            </w:tcBorders>
            <w:vAlign w:val="center"/>
          </w:tcPr>
          <w:p>
            <w:pPr>
              <w:pStyle w:val="10"/>
              <w:keepNext w:val="0"/>
              <w:keepLines w:val="0"/>
              <w:widowControl/>
              <w:suppressLineNumbers w:val="0"/>
              <w:bidi w:val="0"/>
              <w:spacing w:before="0" w:beforeAutospacing="1" w:after="144" w:afterAutospacing="0" w:line="224" w:lineRule="atLeast"/>
              <w:ind w:left="0" w:leftChars="0" w:right="0" w:rightChars="0"/>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i w:val="0"/>
                <w:iCs w:val="0"/>
                <w:caps w:val="0"/>
                <w:color w:val="auto"/>
                <w:spacing w:val="0"/>
                <w:sz w:val="21"/>
                <w:szCs w:val="21"/>
                <w:lang w:eastAsia="zh-CN"/>
              </w:rPr>
              <w:t>重点检查事项</w:t>
            </w:r>
          </w:p>
        </w:tc>
        <w:tc>
          <w:tcPr>
            <w:tcW w:w="3187" w:type="dxa"/>
            <w:vMerge w:val="restart"/>
            <w:tcBorders>
              <w:top w:val="single" w:color="auto" w:sz="4" w:space="0"/>
              <w:left w:val="single" w:color="auto" w:sz="4" w:space="0"/>
              <w:right w:val="single" w:color="auto" w:sz="4" w:space="0"/>
            </w:tcBorders>
            <w:vAlign w:val="center"/>
          </w:tcPr>
          <w:p>
            <w:pPr>
              <w:pStyle w:val="10"/>
              <w:keepNext w:val="0"/>
              <w:keepLines w:val="0"/>
              <w:widowControl/>
              <w:suppressLineNumbers w:val="0"/>
              <w:bidi w:val="0"/>
              <w:spacing w:before="0" w:beforeAutospacing="1" w:after="144" w:afterAutospacing="0" w:line="224" w:lineRule="atLeast"/>
              <w:ind w:left="0" w:leftChars="0" w:right="0" w:rightChars="0"/>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i w:val="0"/>
                <w:iCs w:val="0"/>
                <w:caps w:val="0"/>
                <w:color w:val="auto"/>
                <w:spacing w:val="0"/>
                <w:sz w:val="21"/>
                <w:szCs w:val="21"/>
                <w:lang w:eastAsia="zh-CN"/>
              </w:rPr>
              <w:t>对民用爆炸物品销售许可的行政检查</w:t>
            </w:r>
          </w:p>
        </w:tc>
        <w:tc>
          <w:tcPr>
            <w:tcW w:w="1769" w:type="dxa"/>
            <w:tcBorders>
              <w:top w:val="single" w:color="auto" w:sz="4" w:space="0"/>
              <w:left w:val="single" w:color="auto" w:sz="4" w:space="0"/>
              <w:bottom w:val="single" w:color="auto" w:sz="4" w:space="0"/>
              <w:right w:val="single" w:color="auto" w:sz="4" w:space="0"/>
            </w:tcBorders>
            <w:vAlign w:val="center"/>
          </w:tcPr>
          <w:p>
            <w:pPr>
              <w:pStyle w:val="10"/>
              <w:keepNext w:val="0"/>
              <w:keepLines w:val="0"/>
              <w:widowControl/>
              <w:suppressLineNumbers w:val="0"/>
              <w:bidi w:val="0"/>
              <w:spacing w:before="0" w:beforeAutospacing="1" w:after="144" w:afterAutospacing="0" w:line="224" w:lineRule="atLeast"/>
              <w:ind w:left="0" w:leftChars="0" w:right="0" w:rightChars="0"/>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i w:val="0"/>
                <w:iCs w:val="0"/>
                <w:caps w:val="0"/>
                <w:color w:val="auto"/>
                <w:spacing w:val="0"/>
                <w:sz w:val="21"/>
                <w:szCs w:val="21"/>
                <w:lang w:eastAsia="zh-CN"/>
              </w:rPr>
              <w:t>一般检查对象</w:t>
            </w:r>
          </w:p>
        </w:tc>
        <w:tc>
          <w:tcPr>
            <w:tcW w:w="2428" w:type="dxa"/>
            <w:tcBorders>
              <w:top w:val="single" w:color="auto" w:sz="4" w:space="0"/>
              <w:left w:val="single" w:color="auto" w:sz="4" w:space="0"/>
              <w:bottom w:val="single" w:color="auto" w:sz="4" w:space="0"/>
              <w:right w:val="single" w:color="auto" w:sz="4" w:space="0"/>
            </w:tcBorders>
            <w:vAlign w:val="center"/>
          </w:tcPr>
          <w:p>
            <w:pPr>
              <w:pStyle w:val="10"/>
              <w:keepNext w:val="0"/>
              <w:keepLines w:val="0"/>
              <w:widowControl/>
              <w:suppressLineNumbers w:val="0"/>
              <w:bidi w:val="0"/>
              <w:spacing w:before="0" w:beforeAutospacing="1" w:after="144" w:afterAutospacing="0" w:line="224" w:lineRule="atLeast"/>
              <w:ind w:left="0" w:leftChars="0" w:right="0" w:rightChars="0"/>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i w:val="0"/>
                <w:iCs w:val="0"/>
                <w:caps w:val="0"/>
                <w:color w:val="auto"/>
                <w:spacing w:val="0"/>
                <w:sz w:val="21"/>
                <w:szCs w:val="21"/>
                <w:lang w:eastAsia="zh-CN"/>
              </w:rPr>
              <w:t>民用爆炸物品销售许可企业</w:t>
            </w:r>
          </w:p>
        </w:tc>
        <w:tc>
          <w:tcPr>
            <w:tcW w:w="1754" w:type="dxa"/>
            <w:tcBorders>
              <w:top w:val="single" w:color="auto" w:sz="4" w:space="0"/>
              <w:left w:val="single" w:color="auto" w:sz="4" w:space="0"/>
              <w:bottom w:val="single" w:color="auto" w:sz="4" w:space="0"/>
              <w:right w:val="single" w:color="auto" w:sz="4" w:space="0"/>
            </w:tcBorders>
            <w:vAlign w:val="center"/>
          </w:tcPr>
          <w:p>
            <w:pPr>
              <w:pStyle w:val="10"/>
              <w:keepNext w:val="0"/>
              <w:keepLines w:val="0"/>
              <w:widowControl/>
              <w:suppressLineNumbers w:val="0"/>
              <w:bidi w:val="0"/>
              <w:spacing w:before="0" w:beforeAutospacing="1" w:after="144" w:afterAutospacing="0" w:line="224" w:lineRule="atLeast"/>
              <w:ind w:left="0" w:leftChars="0" w:right="0" w:rightChars="0"/>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i w:val="0"/>
                <w:iCs w:val="0"/>
                <w:caps w:val="0"/>
                <w:color w:val="auto"/>
                <w:spacing w:val="0"/>
                <w:sz w:val="21"/>
                <w:szCs w:val="21"/>
                <w:lang w:eastAsia="zh-CN"/>
              </w:rPr>
              <w:t>全覆盖监管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864" w:type="dxa"/>
            <w:vMerge w:val="continue"/>
            <w:tcBorders>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p>
        </w:tc>
        <w:tc>
          <w:tcPr>
            <w:tcW w:w="2348" w:type="dxa"/>
            <w:vMerge w:val="continue"/>
            <w:tcBorders>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p>
        </w:tc>
        <w:tc>
          <w:tcPr>
            <w:tcW w:w="1459" w:type="dxa"/>
            <w:vMerge w:val="continue"/>
            <w:tcBorders>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p>
        </w:tc>
        <w:tc>
          <w:tcPr>
            <w:tcW w:w="3187" w:type="dxa"/>
            <w:vMerge w:val="continue"/>
            <w:tcBorders>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p>
        </w:tc>
        <w:tc>
          <w:tcPr>
            <w:tcW w:w="1769" w:type="dxa"/>
            <w:tcBorders>
              <w:top w:val="single" w:color="auto" w:sz="4" w:space="0"/>
              <w:left w:val="single" w:color="auto" w:sz="4" w:space="0"/>
              <w:bottom w:val="single" w:color="auto" w:sz="4" w:space="0"/>
              <w:right w:val="single" w:color="auto" w:sz="4" w:space="0"/>
            </w:tcBorders>
            <w:vAlign w:val="center"/>
          </w:tcPr>
          <w:p>
            <w:pPr>
              <w:pStyle w:val="10"/>
              <w:keepNext w:val="0"/>
              <w:keepLines w:val="0"/>
              <w:widowControl/>
              <w:suppressLineNumbers w:val="0"/>
              <w:bidi w:val="0"/>
              <w:spacing w:before="0" w:beforeAutospacing="1" w:after="144" w:afterAutospacing="0" w:line="224" w:lineRule="atLeast"/>
              <w:ind w:left="0" w:leftChars="0" w:right="0" w:rightChars="0"/>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i w:val="0"/>
                <w:iCs w:val="0"/>
                <w:caps w:val="0"/>
                <w:color w:val="auto"/>
                <w:spacing w:val="0"/>
                <w:sz w:val="21"/>
                <w:szCs w:val="21"/>
                <w:lang w:eastAsia="zh-CN"/>
              </w:rPr>
              <w:t>重点检查对象</w:t>
            </w:r>
          </w:p>
        </w:tc>
        <w:tc>
          <w:tcPr>
            <w:tcW w:w="2428" w:type="dxa"/>
            <w:tcBorders>
              <w:top w:val="single" w:color="auto" w:sz="4" w:space="0"/>
              <w:left w:val="single" w:color="auto" w:sz="4" w:space="0"/>
              <w:bottom w:val="single" w:color="auto" w:sz="4" w:space="0"/>
              <w:right w:val="single" w:color="auto" w:sz="4" w:space="0"/>
            </w:tcBorders>
            <w:vAlign w:val="center"/>
          </w:tcPr>
          <w:p>
            <w:pPr>
              <w:pStyle w:val="10"/>
              <w:keepNext w:val="0"/>
              <w:keepLines w:val="0"/>
              <w:widowControl/>
              <w:suppressLineNumbers w:val="0"/>
              <w:bidi w:val="0"/>
              <w:spacing w:before="0" w:beforeAutospacing="1" w:after="144" w:afterAutospacing="0" w:line="224" w:lineRule="atLeast"/>
              <w:ind w:left="0" w:leftChars="0" w:right="0" w:rightChars="0"/>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i w:val="0"/>
                <w:iCs w:val="0"/>
                <w:caps w:val="0"/>
                <w:color w:val="auto"/>
                <w:spacing w:val="0"/>
                <w:sz w:val="21"/>
                <w:szCs w:val="21"/>
                <w:lang w:eastAsia="zh-CN"/>
              </w:rPr>
              <w:t>被投诉、举报、行政处罚的法人或非法人组织</w:t>
            </w:r>
          </w:p>
        </w:tc>
        <w:tc>
          <w:tcPr>
            <w:tcW w:w="1754" w:type="dxa"/>
            <w:tcBorders>
              <w:top w:val="single" w:color="auto" w:sz="4" w:space="0"/>
              <w:left w:val="single" w:color="auto" w:sz="4" w:space="0"/>
              <w:bottom w:val="single" w:color="auto" w:sz="4" w:space="0"/>
              <w:right w:val="single" w:color="auto" w:sz="4" w:space="0"/>
            </w:tcBorders>
            <w:vAlign w:val="center"/>
          </w:tcPr>
          <w:p>
            <w:pPr>
              <w:pStyle w:val="10"/>
              <w:keepNext w:val="0"/>
              <w:keepLines w:val="0"/>
              <w:widowControl/>
              <w:suppressLineNumbers w:val="0"/>
              <w:bidi w:val="0"/>
              <w:spacing w:before="0" w:beforeAutospacing="1" w:after="144" w:afterAutospacing="0" w:line="224" w:lineRule="atLeast"/>
              <w:ind w:left="0" w:leftChars="0" w:right="0" w:rightChars="0"/>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i w:val="0"/>
                <w:iCs w:val="0"/>
                <w:caps w:val="0"/>
                <w:color w:val="auto"/>
                <w:spacing w:val="0"/>
                <w:sz w:val="21"/>
                <w:szCs w:val="21"/>
                <w:lang w:eastAsia="zh-CN"/>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864" w:type="dxa"/>
            <w:vMerge w:val="restart"/>
            <w:tcBorders>
              <w:top w:val="single" w:color="auto" w:sz="4" w:space="0"/>
              <w:left w:val="single" w:color="auto" w:sz="4" w:space="0"/>
              <w:right w:val="single" w:color="auto" w:sz="4" w:space="0"/>
            </w:tcBorders>
            <w:vAlign w:val="top"/>
          </w:tcPr>
          <w:p>
            <w:pPr>
              <w:pStyle w:val="25"/>
              <w:jc w:val="center"/>
              <w:rPr>
                <w:rFonts w:hint="eastAsia" w:ascii="宋体" w:hAnsi="宋体" w:eastAsia="宋体" w:cs="宋体"/>
                <w:snapToGrid w:val="0"/>
                <w:color w:val="auto"/>
                <w:spacing w:val="-1"/>
                <w:kern w:val="0"/>
                <w:sz w:val="21"/>
                <w:szCs w:val="21"/>
                <w:lang w:val="en-US" w:eastAsia="zh-CN" w:bidi="ar-SA"/>
              </w:rPr>
            </w:pPr>
          </w:p>
          <w:p>
            <w:pPr>
              <w:pStyle w:val="25"/>
              <w:jc w:val="center"/>
              <w:rPr>
                <w:rFonts w:hint="eastAsia" w:ascii="宋体" w:hAnsi="宋体" w:eastAsia="宋体" w:cs="宋体"/>
                <w:snapToGrid w:val="0"/>
                <w:color w:val="auto"/>
                <w:spacing w:val="-1"/>
                <w:kern w:val="0"/>
                <w:sz w:val="21"/>
                <w:szCs w:val="21"/>
                <w:lang w:val="en-US" w:eastAsia="zh-CN" w:bidi="ar-SA"/>
              </w:rPr>
            </w:pPr>
          </w:p>
          <w:p>
            <w:pPr>
              <w:pStyle w:val="25"/>
              <w:jc w:val="center"/>
              <w:rPr>
                <w:rFonts w:hint="eastAsia" w:ascii="宋体" w:hAnsi="宋体" w:eastAsia="宋体" w:cs="宋体"/>
                <w:snapToGrid w:val="0"/>
                <w:color w:val="auto"/>
                <w:spacing w:val="-1"/>
                <w:kern w:val="0"/>
                <w:sz w:val="21"/>
                <w:szCs w:val="21"/>
                <w:lang w:val="en-US" w:eastAsia="zh-CN" w:bidi="ar-SA"/>
              </w:rPr>
            </w:pPr>
          </w:p>
          <w:p>
            <w:pPr>
              <w:pStyle w:val="25"/>
              <w:jc w:val="center"/>
              <w:rPr>
                <w:rFonts w:hint="eastAsia" w:ascii="宋体" w:hAnsi="宋体" w:eastAsia="宋体" w:cs="宋体"/>
                <w:snapToGrid w:val="0"/>
                <w:color w:val="auto"/>
                <w:spacing w:val="-1"/>
                <w:kern w:val="0"/>
                <w:sz w:val="21"/>
                <w:szCs w:val="21"/>
                <w:lang w:val="en-US" w:eastAsia="zh-CN" w:bidi="ar-SA"/>
              </w:rPr>
            </w:pPr>
            <w:r>
              <w:rPr>
                <w:rFonts w:hint="eastAsia" w:ascii="宋体" w:hAnsi="宋体" w:eastAsia="宋体" w:cs="宋体"/>
                <w:snapToGrid w:val="0"/>
                <w:color w:val="auto"/>
                <w:spacing w:val="-1"/>
                <w:kern w:val="0"/>
                <w:sz w:val="21"/>
                <w:szCs w:val="21"/>
                <w:lang w:val="en-US" w:eastAsia="zh-CN" w:bidi="ar-SA"/>
              </w:rPr>
              <w:t>4</w:t>
            </w:r>
          </w:p>
        </w:tc>
        <w:tc>
          <w:tcPr>
            <w:tcW w:w="2348" w:type="dxa"/>
            <w:vMerge w:val="restart"/>
            <w:tcBorders>
              <w:top w:val="single" w:color="auto" w:sz="4" w:space="0"/>
              <w:left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snapToGrid w:val="0"/>
                <w:color w:val="auto"/>
                <w:spacing w:val="-1"/>
                <w:kern w:val="0"/>
                <w:sz w:val="21"/>
                <w:szCs w:val="21"/>
                <w:lang w:val="en-US" w:eastAsia="zh-CN" w:bidi="ar-SA"/>
              </w:rPr>
              <w:t>对民爆物品生产企业安全生产许可的行政检查</w:t>
            </w:r>
          </w:p>
        </w:tc>
        <w:tc>
          <w:tcPr>
            <w:tcW w:w="1459" w:type="dxa"/>
            <w:vMerge w:val="restart"/>
            <w:tcBorders>
              <w:top w:val="single" w:color="auto" w:sz="4" w:space="0"/>
              <w:left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snapToGrid w:val="0"/>
                <w:color w:val="auto"/>
                <w:spacing w:val="-1"/>
                <w:kern w:val="0"/>
                <w:sz w:val="21"/>
                <w:szCs w:val="21"/>
                <w:lang w:val="en-US" w:eastAsia="zh-CN" w:bidi="ar-SA"/>
              </w:rPr>
              <w:t>重点检查事项</w:t>
            </w:r>
          </w:p>
        </w:tc>
        <w:tc>
          <w:tcPr>
            <w:tcW w:w="3187" w:type="dxa"/>
            <w:vMerge w:val="restart"/>
            <w:tcBorders>
              <w:top w:val="single" w:color="auto" w:sz="4" w:space="0"/>
              <w:left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snapToGrid w:val="0"/>
                <w:color w:val="auto"/>
                <w:spacing w:val="-1"/>
                <w:kern w:val="0"/>
                <w:sz w:val="21"/>
                <w:szCs w:val="21"/>
                <w:lang w:val="en-US" w:eastAsia="zh-CN" w:bidi="ar-SA"/>
              </w:rPr>
              <w:t>民爆物品生产企业安全生产许可的行政检查</w:t>
            </w:r>
          </w:p>
        </w:tc>
        <w:tc>
          <w:tcPr>
            <w:tcW w:w="1769" w:type="dxa"/>
            <w:tcBorders>
              <w:top w:val="single" w:color="auto" w:sz="4" w:space="0"/>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snapToGrid w:val="0"/>
                <w:color w:val="auto"/>
                <w:spacing w:val="-1"/>
                <w:kern w:val="0"/>
                <w:sz w:val="21"/>
                <w:szCs w:val="21"/>
                <w:lang w:val="en-US" w:eastAsia="zh-CN" w:bidi="ar-SA"/>
              </w:rPr>
              <w:t>一般检查对象</w:t>
            </w:r>
          </w:p>
        </w:tc>
        <w:tc>
          <w:tcPr>
            <w:tcW w:w="2428" w:type="dxa"/>
            <w:tcBorders>
              <w:top w:val="single" w:color="auto" w:sz="4" w:space="0"/>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r>
              <w:rPr>
                <w:rFonts w:ascii="SimSun" w:hAnsi="SimSun" w:eastAsia="SimSun" w:cs="SimSun"/>
                <w:color w:val="auto"/>
                <w:spacing w:val="-2"/>
                <w:sz w:val="21"/>
                <w:szCs w:val="21"/>
              </w:rPr>
              <w:t>未被投诉、举报的企业</w:t>
            </w:r>
          </w:p>
        </w:tc>
        <w:tc>
          <w:tcPr>
            <w:tcW w:w="1754" w:type="dxa"/>
            <w:tcBorders>
              <w:top w:val="single" w:color="auto" w:sz="4" w:space="0"/>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zh-CN" w:bidi="ar-SA"/>
              </w:rPr>
            </w:pPr>
            <w:r>
              <w:rPr>
                <w:rFonts w:hint="eastAsia" w:ascii="宋体" w:hAnsi="宋体" w:eastAsia="宋体" w:cs="宋体"/>
                <w:i w:val="0"/>
                <w:iCs w:val="0"/>
                <w:caps w:val="0"/>
                <w:color w:val="auto"/>
                <w:spacing w:val="0"/>
                <w:sz w:val="21"/>
                <w:szCs w:val="21"/>
                <w:lang w:eastAsia="zh-CN"/>
              </w:rPr>
              <w:t>全覆盖监管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864" w:type="dxa"/>
            <w:vMerge w:val="continue"/>
            <w:tcBorders>
              <w:left w:val="single" w:color="auto" w:sz="4" w:space="0"/>
              <w:right w:val="single" w:color="auto" w:sz="4" w:space="0"/>
            </w:tcBorders>
            <w:vAlign w:val="top"/>
          </w:tcPr>
          <w:p>
            <w:pPr>
              <w:pStyle w:val="25"/>
              <w:jc w:val="center"/>
              <w:rPr>
                <w:rFonts w:hint="eastAsia" w:ascii="宋体" w:hAnsi="宋体" w:eastAsia="宋体" w:cs="宋体"/>
                <w:snapToGrid w:val="0"/>
                <w:color w:val="auto"/>
                <w:spacing w:val="-1"/>
                <w:kern w:val="0"/>
                <w:sz w:val="21"/>
                <w:szCs w:val="21"/>
                <w:lang w:val="en-US" w:eastAsia="en-US" w:bidi="ar-SA"/>
              </w:rPr>
            </w:pPr>
          </w:p>
        </w:tc>
        <w:tc>
          <w:tcPr>
            <w:tcW w:w="2348" w:type="dxa"/>
            <w:vMerge w:val="continue"/>
            <w:tcBorders>
              <w:left w:val="single" w:color="auto" w:sz="4" w:space="0"/>
              <w:right w:val="single" w:color="auto" w:sz="4" w:space="0"/>
            </w:tcBorders>
            <w:vAlign w:val="top"/>
          </w:tcPr>
          <w:p>
            <w:pPr>
              <w:pStyle w:val="25"/>
              <w:jc w:val="center"/>
              <w:rPr>
                <w:rFonts w:hint="eastAsia" w:ascii="宋体" w:hAnsi="宋体" w:eastAsia="宋体" w:cs="宋体"/>
                <w:snapToGrid w:val="0"/>
                <w:color w:val="auto"/>
                <w:spacing w:val="-1"/>
                <w:kern w:val="0"/>
                <w:sz w:val="21"/>
                <w:szCs w:val="21"/>
                <w:lang w:val="en-US" w:eastAsia="en-US" w:bidi="ar-SA"/>
              </w:rPr>
            </w:pPr>
          </w:p>
        </w:tc>
        <w:tc>
          <w:tcPr>
            <w:tcW w:w="1459" w:type="dxa"/>
            <w:vMerge w:val="continue"/>
            <w:tcBorders>
              <w:left w:val="single" w:color="auto" w:sz="4" w:space="0"/>
              <w:right w:val="single" w:color="auto" w:sz="4" w:space="0"/>
            </w:tcBorders>
            <w:vAlign w:val="top"/>
          </w:tcPr>
          <w:p>
            <w:pPr>
              <w:pStyle w:val="25"/>
              <w:jc w:val="center"/>
              <w:rPr>
                <w:rFonts w:hint="eastAsia" w:ascii="宋体" w:hAnsi="宋体" w:eastAsia="宋体" w:cs="宋体"/>
                <w:snapToGrid w:val="0"/>
                <w:color w:val="auto"/>
                <w:spacing w:val="-1"/>
                <w:kern w:val="0"/>
                <w:sz w:val="21"/>
                <w:szCs w:val="21"/>
                <w:lang w:val="en-US" w:eastAsia="en-US" w:bidi="ar-SA"/>
              </w:rPr>
            </w:pPr>
          </w:p>
        </w:tc>
        <w:tc>
          <w:tcPr>
            <w:tcW w:w="3187" w:type="dxa"/>
            <w:vMerge w:val="continue"/>
            <w:tcBorders>
              <w:left w:val="single" w:color="auto" w:sz="4" w:space="0"/>
              <w:right w:val="single" w:color="auto" w:sz="4" w:space="0"/>
            </w:tcBorders>
            <w:vAlign w:val="top"/>
          </w:tcPr>
          <w:p>
            <w:pPr>
              <w:pStyle w:val="25"/>
              <w:jc w:val="center"/>
              <w:rPr>
                <w:rFonts w:hint="eastAsia" w:ascii="宋体" w:hAnsi="宋体" w:eastAsia="宋体" w:cs="宋体"/>
                <w:snapToGrid w:val="0"/>
                <w:color w:val="auto"/>
                <w:spacing w:val="-1"/>
                <w:kern w:val="0"/>
                <w:sz w:val="21"/>
                <w:szCs w:val="21"/>
                <w:lang w:val="en-US" w:eastAsia="en-US" w:bidi="ar-SA"/>
              </w:rPr>
            </w:pPr>
          </w:p>
        </w:tc>
        <w:tc>
          <w:tcPr>
            <w:tcW w:w="1769" w:type="dxa"/>
            <w:tcBorders>
              <w:top w:val="single" w:color="auto" w:sz="4" w:space="0"/>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snapToGrid w:val="0"/>
                <w:color w:val="auto"/>
                <w:spacing w:val="-1"/>
                <w:kern w:val="0"/>
                <w:sz w:val="21"/>
                <w:szCs w:val="21"/>
                <w:lang w:val="en-US" w:eastAsia="zh-CN" w:bidi="ar-SA"/>
              </w:rPr>
              <w:t>重点检查对象</w:t>
            </w:r>
          </w:p>
        </w:tc>
        <w:tc>
          <w:tcPr>
            <w:tcW w:w="2428" w:type="dxa"/>
            <w:tcBorders>
              <w:top w:val="single" w:color="auto" w:sz="4" w:space="0"/>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snapToGrid w:val="0"/>
                <w:color w:val="auto"/>
                <w:spacing w:val="-1"/>
                <w:kern w:val="0"/>
                <w:sz w:val="21"/>
                <w:szCs w:val="21"/>
                <w:lang w:val="en-US" w:eastAsia="zh-CN" w:bidi="ar-SA"/>
              </w:rPr>
              <w:t>被投诉、举报、行政处罚的法人或非法人组织</w:t>
            </w:r>
          </w:p>
        </w:tc>
        <w:tc>
          <w:tcPr>
            <w:tcW w:w="1754" w:type="dxa"/>
            <w:tcBorders>
              <w:top w:val="single" w:color="auto" w:sz="4" w:space="0"/>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snapToGrid w:val="0"/>
                <w:color w:val="auto"/>
                <w:spacing w:val="-1"/>
                <w:kern w:val="0"/>
                <w:sz w:val="21"/>
                <w:szCs w:val="21"/>
                <w:lang w:val="en-US" w:eastAsia="zh-CN" w:bidi="ar-SA"/>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864" w:type="dxa"/>
            <w:vMerge w:val="restart"/>
            <w:tcBorders>
              <w:left w:val="single" w:color="auto" w:sz="4" w:space="0"/>
              <w:right w:val="single" w:color="auto" w:sz="4" w:space="0"/>
            </w:tcBorders>
            <w:vAlign w:val="top"/>
          </w:tcPr>
          <w:p>
            <w:pPr>
              <w:pStyle w:val="25"/>
              <w:jc w:val="center"/>
              <w:rPr>
                <w:rFonts w:hint="eastAsia" w:ascii="宋体" w:hAnsi="宋体" w:eastAsia="宋体" w:cs="宋体"/>
                <w:snapToGrid w:val="0"/>
                <w:color w:val="auto"/>
                <w:spacing w:val="-1"/>
                <w:kern w:val="0"/>
                <w:sz w:val="21"/>
                <w:szCs w:val="21"/>
                <w:lang w:val="en-US" w:eastAsia="zh-CN" w:bidi="ar-SA"/>
              </w:rPr>
            </w:pPr>
          </w:p>
          <w:p>
            <w:pPr>
              <w:pStyle w:val="25"/>
              <w:jc w:val="center"/>
              <w:rPr>
                <w:rFonts w:hint="eastAsia" w:ascii="宋体" w:hAnsi="宋体" w:eastAsia="宋体" w:cs="宋体"/>
                <w:snapToGrid w:val="0"/>
                <w:color w:val="auto"/>
                <w:spacing w:val="-1"/>
                <w:kern w:val="0"/>
                <w:sz w:val="21"/>
                <w:szCs w:val="21"/>
                <w:lang w:val="en-US" w:eastAsia="zh-CN" w:bidi="ar-SA"/>
              </w:rPr>
            </w:pPr>
          </w:p>
          <w:p>
            <w:pPr>
              <w:pStyle w:val="25"/>
              <w:jc w:val="center"/>
              <w:rPr>
                <w:rFonts w:hint="eastAsia" w:ascii="宋体" w:hAnsi="宋体" w:eastAsia="宋体" w:cs="宋体"/>
                <w:snapToGrid w:val="0"/>
                <w:color w:val="auto"/>
                <w:spacing w:val="-1"/>
                <w:kern w:val="0"/>
                <w:sz w:val="21"/>
                <w:szCs w:val="21"/>
                <w:lang w:val="en-US" w:eastAsia="zh-CN" w:bidi="ar-SA"/>
              </w:rPr>
            </w:pPr>
          </w:p>
          <w:p>
            <w:pPr>
              <w:pStyle w:val="25"/>
              <w:jc w:val="center"/>
              <w:rPr>
                <w:rFonts w:hint="eastAsia" w:ascii="宋体" w:hAnsi="宋体" w:eastAsia="宋体" w:cs="宋体"/>
                <w:snapToGrid w:val="0"/>
                <w:color w:val="auto"/>
                <w:spacing w:val="-1"/>
                <w:kern w:val="0"/>
                <w:sz w:val="21"/>
                <w:szCs w:val="21"/>
                <w:lang w:val="en-US" w:eastAsia="zh-CN" w:bidi="ar-SA"/>
              </w:rPr>
            </w:pPr>
          </w:p>
          <w:p>
            <w:pPr>
              <w:pStyle w:val="25"/>
              <w:jc w:val="center"/>
              <w:rPr>
                <w:rFonts w:hint="eastAsia" w:ascii="宋体" w:hAnsi="宋体" w:eastAsia="宋体" w:cs="宋体"/>
                <w:snapToGrid w:val="0"/>
                <w:color w:val="auto"/>
                <w:spacing w:val="-1"/>
                <w:kern w:val="0"/>
                <w:sz w:val="21"/>
                <w:szCs w:val="21"/>
                <w:lang w:val="en-US" w:eastAsia="zh-CN" w:bidi="ar-SA"/>
              </w:rPr>
            </w:pPr>
          </w:p>
          <w:p>
            <w:pPr>
              <w:pStyle w:val="25"/>
              <w:jc w:val="center"/>
              <w:rPr>
                <w:rFonts w:hint="eastAsia" w:ascii="宋体" w:hAnsi="宋体" w:eastAsia="宋体" w:cs="宋体"/>
                <w:snapToGrid w:val="0"/>
                <w:color w:val="auto"/>
                <w:spacing w:val="-1"/>
                <w:kern w:val="0"/>
                <w:sz w:val="21"/>
                <w:szCs w:val="21"/>
                <w:lang w:val="en-US" w:eastAsia="zh-CN" w:bidi="ar-SA"/>
              </w:rPr>
            </w:pPr>
            <w:r>
              <w:rPr>
                <w:rFonts w:hint="eastAsia" w:ascii="宋体" w:hAnsi="宋体" w:eastAsia="宋体" w:cs="宋体"/>
                <w:snapToGrid w:val="0"/>
                <w:color w:val="auto"/>
                <w:spacing w:val="-1"/>
                <w:kern w:val="0"/>
                <w:sz w:val="21"/>
                <w:szCs w:val="21"/>
                <w:lang w:val="en-US" w:eastAsia="zh-CN" w:bidi="ar-SA"/>
              </w:rPr>
              <w:t>5</w:t>
            </w:r>
          </w:p>
        </w:tc>
        <w:tc>
          <w:tcPr>
            <w:tcW w:w="2348" w:type="dxa"/>
            <w:vMerge w:val="restart"/>
            <w:tcBorders>
              <w:left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snapToGrid w:val="0"/>
                <w:color w:val="auto"/>
                <w:spacing w:val="-1"/>
                <w:kern w:val="0"/>
                <w:sz w:val="21"/>
                <w:szCs w:val="21"/>
                <w:lang w:val="en-US" w:eastAsia="zh-CN" w:bidi="ar-SA"/>
              </w:rPr>
              <w:t>对成品油流通经营企业的监督检查</w:t>
            </w:r>
          </w:p>
        </w:tc>
        <w:tc>
          <w:tcPr>
            <w:tcW w:w="1459" w:type="dxa"/>
            <w:vMerge w:val="restart"/>
            <w:tcBorders>
              <w:left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r>
              <w:rPr>
                <w:rFonts w:hint="eastAsia" w:ascii="宋体" w:hAnsi="宋体" w:eastAsia="宋体" w:cs="宋体"/>
                <w:snapToGrid w:val="0"/>
                <w:color w:val="auto"/>
                <w:spacing w:val="-1"/>
                <w:kern w:val="0"/>
                <w:sz w:val="21"/>
                <w:szCs w:val="21"/>
                <w:lang w:val="en-US" w:eastAsia="zh-CN" w:bidi="ar-SA"/>
              </w:rPr>
              <w:t>一般检查事项</w:t>
            </w:r>
          </w:p>
        </w:tc>
        <w:tc>
          <w:tcPr>
            <w:tcW w:w="3187" w:type="dxa"/>
            <w:vMerge w:val="restart"/>
            <w:tcBorders>
              <w:left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zh-CN" w:bidi="ar-SA"/>
              </w:rPr>
            </w:pPr>
            <w:r>
              <w:rPr>
                <w:rFonts w:hint="eastAsia" w:ascii="宋体" w:hAnsi="宋体" w:eastAsia="宋体" w:cs="宋体"/>
                <w:snapToGrid w:val="0"/>
                <w:color w:val="auto"/>
                <w:spacing w:val="-1"/>
                <w:kern w:val="0"/>
                <w:sz w:val="21"/>
                <w:szCs w:val="21"/>
                <w:lang w:val="en-US" w:eastAsia="zh-CN" w:bidi="ar-SA"/>
              </w:rPr>
              <w:t>对成品油企业经营活动情况的检查</w:t>
            </w:r>
          </w:p>
          <w:p>
            <w:pPr>
              <w:pStyle w:val="25"/>
              <w:jc w:val="center"/>
              <w:rPr>
                <w:rFonts w:hint="eastAsia" w:ascii="宋体" w:hAnsi="宋体" w:eastAsia="宋体" w:cs="宋体"/>
                <w:snapToGrid w:val="0"/>
                <w:color w:val="auto"/>
                <w:spacing w:val="-1"/>
                <w:kern w:val="0"/>
                <w:sz w:val="21"/>
                <w:szCs w:val="21"/>
                <w:lang w:val="en-US" w:eastAsia="en-US" w:bidi="ar-SA"/>
              </w:rPr>
            </w:pPr>
          </w:p>
        </w:tc>
        <w:tc>
          <w:tcPr>
            <w:tcW w:w="1769" w:type="dxa"/>
            <w:tcBorders>
              <w:top w:val="single" w:color="auto" w:sz="4" w:space="0"/>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zh-CN" w:bidi="ar-SA"/>
              </w:rPr>
            </w:pPr>
            <w:r>
              <w:rPr>
                <w:rFonts w:hint="eastAsia" w:ascii="宋体" w:hAnsi="宋体" w:eastAsia="宋体" w:cs="宋体"/>
                <w:snapToGrid w:val="0"/>
                <w:color w:val="auto"/>
                <w:spacing w:val="-1"/>
                <w:kern w:val="0"/>
                <w:sz w:val="21"/>
                <w:szCs w:val="21"/>
                <w:lang w:val="en-US" w:eastAsia="zh-CN" w:bidi="ar-SA"/>
              </w:rPr>
              <w:t>一般检查对象</w:t>
            </w:r>
          </w:p>
        </w:tc>
        <w:tc>
          <w:tcPr>
            <w:tcW w:w="2428" w:type="dxa"/>
            <w:tcBorders>
              <w:top w:val="single" w:color="auto" w:sz="4" w:space="0"/>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zh-CN" w:bidi="ar-SA"/>
              </w:rPr>
            </w:pPr>
            <w:r>
              <w:rPr>
                <w:rFonts w:hint="eastAsia" w:ascii="宋体" w:hAnsi="宋体" w:eastAsia="宋体" w:cs="宋体"/>
                <w:snapToGrid w:val="0"/>
                <w:color w:val="auto"/>
                <w:spacing w:val="-1"/>
                <w:kern w:val="0"/>
                <w:sz w:val="21"/>
                <w:szCs w:val="21"/>
                <w:lang w:val="en-US" w:eastAsia="zh-CN" w:bidi="ar-SA"/>
              </w:rPr>
              <w:t>未被投诉、举报、行政处罚的企业</w:t>
            </w:r>
          </w:p>
        </w:tc>
        <w:tc>
          <w:tcPr>
            <w:tcW w:w="1754" w:type="dxa"/>
            <w:tcBorders>
              <w:top w:val="single" w:color="auto" w:sz="4" w:space="0"/>
              <w:left w:val="single" w:color="auto" w:sz="4" w:space="0"/>
              <w:bottom w:val="single" w:color="auto" w:sz="4" w:space="0"/>
              <w:right w:val="single" w:color="auto" w:sz="4" w:space="0"/>
            </w:tcBorders>
            <w:vAlign w:val="center"/>
          </w:tcPr>
          <w:p>
            <w:pPr>
              <w:pStyle w:val="25"/>
              <w:jc w:val="center"/>
              <w:rPr>
                <w:rFonts w:hint="default" w:ascii="宋体" w:hAnsi="宋体" w:eastAsia="宋体" w:cs="宋体"/>
                <w:snapToGrid w:val="0"/>
                <w:color w:val="auto"/>
                <w:spacing w:val="-1"/>
                <w:kern w:val="0"/>
                <w:sz w:val="21"/>
                <w:szCs w:val="21"/>
                <w:lang w:val="en-US" w:eastAsia="zh-CN" w:bidi="ar-SA"/>
              </w:rPr>
            </w:pPr>
            <w:r>
              <w:rPr>
                <w:rFonts w:hint="eastAsia" w:ascii="宋体" w:hAnsi="宋体" w:eastAsia="宋体" w:cs="宋体"/>
                <w:snapToGrid w:val="0"/>
                <w:color w:val="auto"/>
                <w:spacing w:val="-1"/>
                <w:kern w:val="0"/>
                <w:sz w:val="21"/>
                <w:szCs w:val="21"/>
                <w:lang w:val="en-US" w:eastAsia="zh-CN" w:bidi="ar-SA"/>
              </w:rPr>
              <w:t>双随机、一公开</w:t>
            </w:r>
            <w:r>
              <w:rPr>
                <w:rFonts w:hint="default" w:ascii="宋体" w:hAnsi="宋体" w:eastAsia="宋体" w:cs="宋体"/>
                <w:snapToGrid w:val="0"/>
                <w:color w:val="auto"/>
                <w:spacing w:val="-1"/>
                <w:kern w:val="0"/>
                <w:sz w:val="21"/>
                <w:szCs w:val="21"/>
                <w:lang w:val="en-US" w:eastAsia="zh-CN" w:bidi="ar-SA"/>
              </w:rPr>
              <w:t>/</w:t>
            </w:r>
            <w:r>
              <w:rPr>
                <w:rFonts w:hint="eastAsia" w:ascii="宋体" w:hAnsi="宋体" w:eastAsia="宋体" w:cs="宋体"/>
                <w:snapToGrid w:val="0"/>
                <w:color w:val="auto"/>
                <w:spacing w:val="-1"/>
                <w:kern w:val="0"/>
                <w:sz w:val="21"/>
                <w:szCs w:val="21"/>
                <w:lang w:val="en-US" w:eastAsia="zh-CN" w:bidi="ar-SA"/>
              </w:rPr>
              <w:t>日常监管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864" w:type="dxa"/>
            <w:vMerge w:val="continue"/>
            <w:tcBorders>
              <w:left w:val="single" w:color="auto" w:sz="4" w:space="0"/>
              <w:right w:val="single" w:color="auto" w:sz="4" w:space="0"/>
            </w:tcBorders>
            <w:vAlign w:val="top"/>
          </w:tcPr>
          <w:p>
            <w:pPr>
              <w:pStyle w:val="25"/>
              <w:jc w:val="center"/>
              <w:rPr>
                <w:rFonts w:hint="eastAsia" w:ascii="宋体" w:hAnsi="宋体" w:eastAsia="宋体" w:cs="宋体"/>
                <w:snapToGrid w:val="0"/>
                <w:color w:val="auto"/>
                <w:spacing w:val="-1"/>
                <w:kern w:val="0"/>
                <w:sz w:val="21"/>
                <w:szCs w:val="21"/>
                <w:lang w:val="en-US" w:eastAsia="zh-CN" w:bidi="ar-SA"/>
              </w:rPr>
            </w:pPr>
          </w:p>
        </w:tc>
        <w:tc>
          <w:tcPr>
            <w:tcW w:w="2348" w:type="dxa"/>
            <w:vMerge w:val="continue"/>
            <w:tcBorders>
              <w:left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zh-CN" w:bidi="ar-SA"/>
              </w:rPr>
            </w:pPr>
          </w:p>
        </w:tc>
        <w:tc>
          <w:tcPr>
            <w:tcW w:w="1459" w:type="dxa"/>
            <w:vMerge w:val="continue"/>
            <w:tcBorders>
              <w:left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zh-CN" w:bidi="ar-SA"/>
              </w:rPr>
            </w:pPr>
          </w:p>
        </w:tc>
        <w:tc>
          <w:tcPr>
            <w:tcW w:w="3187" w:type="dxa"/>
            <w:vMerge w:val="continue"/>
            <w:tcBorders>
              <w:left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p>
        </w:tc>
        <w:tc>
          <w:tcPr>
            <w:tcW w:w="1769" w:type="dxa"/>
            <w:tcBorders>
              <w:top w:val="single" w:color="auto" w:sz="4" w:space="0"/>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zh-CN" w:bidi="ar-SA"/>
              </w:rPr>
            </w:pPr>
            <w:r>
              <w:rPr>
                <w:rFonts w:hint="eastAsia" w:ascii="宋体" w:hAnsi="宋体" w:eastAsia="宋体" w:cs="宋体"/>
                <w:snapToGrid w:val="0"/>
                <w:color w:val="auto"/>
                <w:spacing w:val="-1"/>
                <w:kern w:val="0"/>
                <w:sz w:val="21"/>
                <w:szCs w:val="21"/>
                <w:lang w:val="en-US" w:eastAsia="zh-CN" w:bidi="ar-SA"/>
              </w:rPr>
              <w:t>一般检查对象</w:t>
            </w:r>
          </w:p>
        </w:tc>
        <w:tc>
          <w:tcPr>
            <w:tcW w:w="2428" w:type="dxa"/>
            <w:tcBorders>
              <w:top w:val="single" w:color="auto" w:sz="4" w:space="0"/>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zh-CN" w:bidi="ar-SA"/>
              </w:rPr>
            </w:pPr>
            <w:r>
              <w:rPr>
                <w:rFonts w:hint="eastAsia" w:ascii="宋体" w:hAnsi="宋体" w:eastAsia="宋体" w:cs="宋体"/>
                <w:snapToGrid w:val="0"/>
                <w:color w:val="auto"/>
                <w:spacing w:val="-1"/>
                <w:kern w:val="0"/>
                <w:sz w:val="21"/>
                <w:szCs w:val="21"/>
                <w:lang w:val="en-US" w:eastAsia="zh-CN" w:bidi="ar-SA"/>
              </w:rPr>
              <w:t>被投诉、举报的企业</w:t>
            </w:r>
          </w:p>
        </w:tc>
        <w:tc>
          <w:tcPr>
            <w:tcW w:w="1754" w:type="dxa"/>
            <w:tcBorders>
              <w:top w:val="single" w:color="auto" w:sz="4" w:space="0"/>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zh-CN" w:bidi="ar-SA"/>
              </w:rPr>
            </w:pPr>
            <w:r>
              <w:rPr>
                <w:rFonts w:hint="eastAsia" w:ascii="宋体" w:hAnsi="宋体" w:eastAsia="宋体" w:cs="宋体"/>
                <w:snapToGrid w:val="0"/>
                <w:color w:val="auto"/>
                <w:spacing w:val="-1"/>
                <w:kern w:val="0"/>
                <w:sz w:val="21"/>
                <w:szCs w:val="21"/>
                <w:lang w:val="en-US" w:eastAsia="zh-CN" w:bidi="ar-SA"/>
              </w:rPr>
              <w:t>定向检查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864" w:type="dxa"/>
            <w:vMerge w:val="continue"/>
            <w:tcBorders>
              <w:left w:val="single" w:color="auto" w:sz="4" w:space="0"/>
              <w:right w:val="single" w:color="auto" w:sz="4" w:space="0"/>
            </w:tcBorders>
            <w:vAlign w:val="top"/>
          </w:tcPr>
          <w:p>
            <w:pPr>
              <w:pStyle w:val="25"/>
              <w:jc w:val="center"/>
              <w:rPr>
                <w:rFonts w:hint="eastAsia" w:ascii="宋体" w:hAnsi="宋体" w:eastAsia="宋体" w:cs="宋体"/>
                <w:snapToGrid w:val="0"/>
                <w:color w:val="auto"/>
                <w:spacing w:val="-1"/>
                <w:kern w:val="0"/>
                <w:sz w:val="21"/>
                <w:szCs w:val="21"/>
                <w:lang w:val="en-US" w:eastAsia="en-US" w:bidi="ar-SA"/>
              </w:rPr>
            </w:pPr>
          </w:p>
        </w:tc>
        <w:tc>
          <w:tcPr>
            <w:tcW w:w="2348" w:type="dxa"/>
            <w:vMerge w:val="continue"/>
            <w:tcBorders>
              <w:left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p>
        </w:tc>
        <w:tc>
          <w:tcPr>
            <w:tcW w:w="1459" w:type="dxa"/>
            <w:vMerge w:val="continue"/>
            <w:tcBorders>
              <w:left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p>
        </w:tc>
        <w:tc>
          <w:tcPr>
            <w:tcW w:w="3187" w:type="dxa"/>
            <w:vMerge w:val="continue"/>
            <w:tcBorders>
              <w:left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en-US" w:bidi="ar-SA"/>
              </w:rPr>
            </w:pPr>
          </w:p>
        </w:tc>
        <w:tc>
          <w:tcPr>
            <w:tcW w:w="1769" w:type="dxa"/>
            <w:tcBorders>
              <w:top w:val="single" w:color="auto" w:sz="4" w:space="0"/>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zh-CN" w:bidi="ar-SA"/>
              </w:rPr>
            </w:pPr>
            <w:r>
              <w:rPr>
                <w:rFonts w:hint="eastAsia" w:ascii="宋体" w:hAnsi="宋体" w:eastAsia="宋体" w:cs="宋体"/>
                <w:snapToGrid w:val="0"/>
                <w:color w:val="auto"/>
                <w:spacing w:val="-1"/>
                <w:kern w:val="0"/>
                <w:sz w:val="21"/>
                <w:szCs w:val="21"/>
                <w:lang w:val="en-US" w:eastAsia="zh-CN" w:bidi="ar-SA"/>
              </w:rPr>
              <w:t>重点检查对象</w:t>
            </w:r>
          </w:p>
        </w:tc>
        <w:tc>
          <w:tcPr>
            <w:tcW w:w="2428" w:type="dxa"/>
            <w:tcBorders>
              <w:top w:val="single" w:color="auto" w:sz="4" w:space="0"/>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zh-CN" w:bidi="ar-SA"/>
              </w:rPr>
            </w:pPr>
            <w:r>
              <w:rPr>
                <w:rFonts w:ascii="SimSun" w:hAnsi="SimSun" w:eastAsia="SimSun" w:cs="SimSun"/>
                <w:color w:val="auto"/>
                <w:sz w:val="21"/>
                <w:szCs w:val="21"/>
              </w:rPr>
              <w:t>多次被投诉、举报或社会</w:t>
            </w:r>
            <w:r>
              <w:rPr>
                <w:rFonts w:ascii="SimSun" w:hAnsi="SimSun" w:eastAsia="SimSun" w:cs="SimSun"/>
                <w:color w:val="auto"/>
                <w:spacing w:val="7"/>
                <w:sz w:val="21"/>
                <w:szCs w:val="21"/>
              </w:rPr>
              <w:t xml:space="preserve"> </w:t>
            </w:r>
            <w:r>
              <w:rPr>
                <w:rFonts w:ascii="SimSun" w:hAnsi="SimSun" w:eastAsia="SimSun" w:cs="SimSun"/>
                <w:color w:val="auto"/>
                <w:spacing w:val="1"/>
                <w:sz w:val="21"/>
                <w:szCs w:val="21"/>
              </w:rPr>
              <w:t>影响恶劣以及其他监管</w:t>
            </w:r>
            <w:r>
              <w:rPr>
                <w:rFonts w:ascii="SimSun" w:hAnsi="SimSun" w:eastAsia="SimSun" w:cs="SimSun"/>
                <w:color w:val="auto"/>
                <w:sz w:val="21"/>
                <w:szCs w:val="21"/>
              </w:rPr>
              <w:t xml:space="preserve">  </w:t>
            </w:r>
            <w:r>
              <w:rPr>
                <w:rFonts w:ascii="SimSun" w:hAnsi="SimSun" w:eastAsia="SimSun" w:cs="SimSun"/>
                <w:color w:val="auto"/>
                <w:spacing w:val="-2"/>
                <w:sz w:val="21"/>
                <w:szCs w:val="21"/>
              </w:rPr>
              <w:t>部门移交的企业</w:t>
            </w:r>
          </w:p>
        </w:tc>
        <w:tc>
          <w:tcPr>
            <w:tcW w:w="1754" w:type="dxa"/>
            <w:tcBorders>
              <w:top w:val="single" w:color="auto" w:sz="4" w:space="0"/>
              <w:left w:val="single" w:color="auto" w:sz="4" w:space="0"/>
              <w:bottom w:val="single" w:color="auto" w:sz="4" w:space="0"/>
              <w:right w:val="single" w:color="auto" w:sz="4" w:space="0"/>
            </w:tcBorders>
            <w:vAlign w:val="center"/>
          </w:tcPr>
          <w:p>
            <w:pPr>
              <w:pStyle w:val="25"/>
              <w:jc w:val="center"/>
              <w:rPr>
                <w:rFonts w:hint="eastAsia" w:ascii="宋体" w:hAnsi="宋体" w:eastAsia="宋体" w:cs="宋体"/>
                <w:snapToGrid w:val="0"/>
                <w:color w:val="auto"/>
                <w:spacing w:val="-1"/>
                <w:kern w:val="0"/>
                <w:sz w:val="21"/>
                <w:szCs w:val="21"/>
                <w:lang w:val="en-US" w:eastAsia="zh-CN" w:bidi="ar-SA"/>
              </w:rPr>
            </w:pPr>
            <w:r>
              <w:rPr>
                <w:rFonts w:hint="eastAsia" w:ascii="宋体" w:hAnsi="宋体" w:eastAsia="宋体" w:cs="宋体"/>
                <w:snapToGrid w:val="0"/>
                <w:color w:val="auto"/>
                <w:spacing w:val="-1"/>
                <w:kern w:val="0"/>
                <w:sz w:val="21"/>
                <w:szCs w:val="21"/>
                <w:lang w:val="en-US" w:eastAsia="zh-CN" w:bidi="ar-SA"/>
              </w:rPr>
              <w:t>定向检查</w:t>
            </w:r>
          </w:p>
        </w:tc>
      </w:tr>
    </w:tbl>
    <w:p>
      <w:pPr>
        <w:rPr>
          <w:rFonts w:ascii="Arial" w:hAnsi="Arial" w:eastAsia="Arial" w:cs="Arial"/>
          <w:color w:val="auto"/>
          <w:sz w:val="21"/>
          <w:szCs w:val="21"/>
        </w:rPr>
        <w:sectPr>
          <w:footerReference r:id="rId6" w:type="default"/>
          <w:pgSz w:w="16840" w:h="11910"/>
          <w:pgMar w:top="1012" w:right="1494" w:bottom="1580" w:left="1525" w:header="0" w:footer="1282" w:gutter="0"/>
          <w:cols w:space="720" w:num="1"/>
        </w:sect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08" w:firstLineChars="200"/>
        <w:jc w:val="both"/>
        <w:textAlignment w:val="auto"/>
        <w:rPr>
          <w:rFonts w:hint="eastAsia"/>
          <w:color w:val="auto"/>
          <w:lang w:val="en-US" w:eastAsia="zh-CN"/>
        </w:rPr>
      </w:pPr>
      <w:r>
        <w:rPr>
          <w:rFonts w:hint="eastAsia" w:ascii="黑体" w:eastAsia="黑体" w:cs="黑体"/>
          <w:b w:val="0"/>
          <w:bCs w:val="0"/>
          <w:color w:val="auto"/>
          <w:spacing w:val="-6"/>
          <w:sz w:val="32"/>
          <w:szCs w:val="32"/>
          <w:lang w:val="en-US" w:eastAsia="zh-CN"/>
        </w:rPr>
        <w:t>十一、广元市经济和信息化局不予处罚、免予处罚事项清单</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131"/>
        <w:gridCol w:w="2898"/>
        <w:gridCol w:w="1461"/>
        <w:gridCol w:w="1574"/>
        <w:gridCol w:w="5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blHeader/>
          <w:jc w:val="center"/>
        </w:trPr>
        <w:tc>
          <w:tcPr>
            <w:tcW w:w="25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黑体" w:cs="Times New Roman"/>
                <w:b w:val="0"/>
                <w:bCs w:val="0"/>
                <w:color w:val="auto"/>
                <w:spacing w:val="-5"/>
                <w:sz w:val="21"/>
                <w:szCs w:val="21"/>
                <w:shd w:val="clear" w:color="auto" w:fill="auto"/>
              </w:rPr>
            </w:pPr>
            <w:r>
              <w:rPr>
                <w:rFonts w:hint="default" w:ascii="Times New Roman" w:hAnsi="Times New Roman" w:eastAsia="黑体" w:cs="Times New Roman"/>
                <w:b w:val="0"/>
                <w:bCs w:val="0"/>
                <w:color w:val="auto"/>
                <w:spacing w:val="-5"/>
                <w:sz w:val="21"/>
                <w:szCs w:val="21"/>
                <w:shd w:val="clear" w:color="auto" w:fill="auto"/>
              </w:rPr>
              <w:t>序号</w:t>
            </w:r>
          </w:p>
        </w:tc>
        <w:tc>
          <w:tcPr>
            <w:tcW w:w="421"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黑体" w:cs="Times New Roman"/>
                <w:b w:val="0"/>
                <w:bCs w:val="0"/>
                <w:color w:val="auto"/>
                <w:spacing w:val="-5"/>
                <w:sz w:val="21"/>
                <w:szCs w:val="21"/>
                <w:shd w:val="clear" w:color="auto" w:fill="auto"/>
                <w:lang w:eastAsia="zh-CN"/>
              </w:rPr>
            </w:pPr>
            <w:r>
              <w:rPr>
                <w:rFonts w:hint="default" w:ascii="Times New Roman" w:hAnsi="Times New Roman" w:eastAsia="黑体" w:cs="Times New Roman"/>
                <w:b w:val="0"/>
                <w:bCs w:val="0"/>
                <w:color w:val="auto"/>
                <w:spacing w:val="-5"/>
                <w:sz w:val="21"/>
                <w:szCs w:val="21"/>
                <w:shd w:val="clear" w:color="auto" w:fill="auto"/>
                <w:lang w:eastAsia="zh-CN"/>
              </w:rPr>
              <w:t>违法</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黑体" w:cs="Times New Roman"/>
                <w:b w:val="0"/>
                <w:bCs w:val="0"/>
                <w:color w:val="auto"/>
                <w:spacing w:val="-5"/>
                <w:sz w:val="21"/>
                <w:szCs w:val="21"/>
                <w:shd w:val="clear" w:color="auto" w:fill="auto"/>
                <w:lang w:eastAsia="zh-CN"/>
              </w:rPr>
            </w:pPr>
            <w:r>
              <w:rPr>
                <w:rFonts w:hint="default" w:ascii="Times New Roman" w:hAnsi="Times New Roman" w:eastAsia="黑体" w:cs="Times New Roman"/>
                <w:b w:val="0"/>
                <w:bCs w:val="0"/>
                <w:color w:val="auto"/>
                <w:spacing w:val="-5"/>
                <w:sz w:val="21"/>
                <w:szCs w:val="21"/>
                <w:shd w:val="clear" w:color="auto" w:fill="auto"/>
                <w:lang w:eastAsia="zh-CN"/>
              </w:rPr>
              <w:t>行为</w:t>
            </w:r>
          </w:p>
        </w:tc>
        <w:tc>
          <w:tcPr>
            <w:tcW w:w="1079"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eastAsia" w:ascii="Times New Roman" w:hAnsi="Times New Roman" w:eastAsia="黑体" w:cs="Times New Roman"/>
                <w:b w:val="0"/>
                <w:bCs w:val="0"/>
                <w:color w:val="auto"/>
                <w:spacing w:val="-5"/>
                <w:sz w:val="21"/>
                <w:szCs w:val="21"/>
                <w:shd w:val="clear" w:color="auto" w:fill="auto"/>
                <w:lang w:eastAsia="zh-CN"/>
              </w:rPr>
            </w:pPr>
            <w:r>
              <w:rPr>
                <w:rFonts w:hint="default" w:ascii="Times New Roman" w:hAnsi="Times New Roman" w:eastAsia="黑体" w:cs="Times New Roman"/>
                <w:b w:val="0"/>
                <w:bCs w:val="0"/>
                <w:color w:val="auto"/>
                <w:spacing w:val="-5"/>
                <w:sz w:val="21"/>
                <w:szCs w:val="21"/>
                <w:shd w:val="clear" w:color="auto" w:fill="auto"/>
                <w:lang w:eastAsia="zh-CN"/>
              </w:rPr>
              <w:t>适用</w:t>
            </w:r>
            <w:r>
              <w:rPr>
                <w:rFonts w:hint="eastAsia" w:ascii="Times New Roman" w:hAnsi="Times New Roman" w:eastAsia="黑体" w:cs="Times New Roman"/>
                <w:b w:val="0"/>
                <w:bCs w:val="0"/>
                <w:color w:val="auto"/>
                <w:spacing w:val="-5"/>
                <w:sz w:val="21"/>
                <w:szCs w:val="21"/>
                <w:shd w:val="clear" w:color="auto" w:fill="auto"/>
                <w:lang w:eastAsia="zh-CN"/>
              </w:rPr>
              <w:t>情形</w:t>
            </w:r>
          </w:p>
        </w:tc>
        <w:tc>
          <w:tcPr>
            <w:tcW w:w="544"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黑体" w:cs="Times New Roman"/>
                <w:b w:val="0"/>
                <w:bCs w:val="0"/>
                <w:color w:val="auto"/>
                <w:spacing w:val="-5"/>
                <w:sz w:val="21"/>
                <w:szCs w:val="21"/>
                <w:shd w:val="clear" w:color="auto" w:fill="auto"/>
              </w:rPr>
            </w:pPr>
            <w:r>
              <w:rPr>
                <w:rFonts w:hint="default" w:ascii="Times New Roman" w:hAnsi="Times New Roman" w:eastAsia="黑体" w:cs="Times New Roman"/>
                <w:b w:val="0"/>
                <w:bCs w:val="0"/>
                <w:color w:val="auto"/>
                <w:spacing w:val="-5"/>
                <w:sz w:val="21"/>
                <w:szCs w:val="21"/>
                <w:shd w:val="clear" w:color="auto" w:fill="auto"/>
              </w:rPr>
              <w:t>裁量</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eastAsia" w:ascii="Times New Roman" w:hAnsi="Times New Roman" w:eastAsia="黑体" w:cs="Times New Roman"/>
                <w:b w:val="0"/>
                <w:bCs w:val="0"/>
                <w:color w:val="auto"/>
                <w:spacing w:val="-5"/>
                <w:sz w:val="21"/>
                <w:szCs w:val="21"/>
                <w:shd w:val="clear" w:color="auto" w:fill="auto"/>
                <w:lang w:eastAsia="zh-CN"/>
              </w:rPr>
            </w:pPr>
            <w:r>
              <w:rPr>
                <w:rFonts w:hint="default" w:ascii="Times New Roman" w:hAnsi="Times New Roman" w:eastAsia="黑体" w:cs="Times New Roman"/>
                <w:b w:val="0"/>
                <w:bCs w:val="0"/>
                <w:color w:val="auto"/>
                <w:spacing w:val="-5"/>
                <w:sz w:val="21"/>
                <w:szCs w:val="21"/>
                <w:shd w:val="clear" w:color="auto" w:fill="auto"/>
                <w:lang w:eastAsia="zh-CN"/>
              </w:rPr>
              <w:t>阶</w:t>
            </w:r>
            <w:r>
              <w:rPr>
                <w:rFonts w:hint="default" w:ascii="Times New Roman" w:hAnsi="Times New Roman" w:eastAsia="黑体" w:cs="Times New Roman"/>
                <w:b w:val="0"/>
                <w:bCs w:val="0"/>
                <w:color w:val="auto"/>
                <w:spacing w:val="-5"/>
                <w:sz w:val="21"/>
                <w:szCs w:val="21"/>
                <w:shd w:val="clear" w:color="auto" w:fill="auto"/>
              </w:rPr>
              <w:t>次</w:t>
            </w:r>
          </w:p>
        </w:tc>
        <w:tc>
          <w:tcPr>
            <w:tcW w:w="58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eastAsia" w:ascii="Times New Roman" w:hAnsi="Times New Roman" w:eastAsia="黑体" w:cs="Times New Roman"/>
                <w:b w:val="0"/>
                <w:bCs w:val="0"/>
                <w:color w:val="auto"/>
                <w:spacing w:val="-5"/>
                <w:sz w:val="21"/>
                <w:szCs w:val="21"/>
                <w:shd w:val="clear" w:color="auto" w:fill="auto"/>
                <w:lang w:eastAsia="zh-CN"/>
              </w:rPr>
            </w:pPr>
            <w:r>
              <w:rPr>
                <w:rFonts w:hint="default" w:ascii="Times New Roman" w:hAnsi="Times New Roman" w:eastAsia="黑体" w:cs="Times New Roman"/>
                <w:b w:val="0"/>
                <w:bCs w:val="0"/>
                <w:color w:val="auto"/>
                <w:spacing w:val="-5"/>
                <w:sz w:val="21"/>
                <w:szCs w:val="21"/>
                <w:shd w:val="clear" w:color="auto" w:fill="auto"/>
                <w:lang w:eastAsia="zh-CN"/>
              </w:rPr>
              <w:t>具体</w:t>
            </w:r>
            <w:r>
              <w:rPr>
                <w:rFonts w:hint="default" w:ascii="Times New Roman" w:hAnsi="Times New Roman" w:eastAsia="黑体" w:cs="Times New Roman"/>
                <w:b w:val="0"/>
                <w:bCs w:val="0"/>
                <w:color w:val="auto"/>
                <w:spacing w:val="-5"/>
                <w:sz w:val="21"/>
                <w:szCs w:val="21"/>
                <w:shd w:val="clear" w:color="auto" w:fill="auto"/>
              </w:rPr>
              <w:t>标准</w:t>
            </w:r>
          </w:p>
        </w:tc>
        <w:tc>
          <w:tcPr>
            <w:tcW w:w="2111"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黑体" w:cs="Times New Roman"/>
                <w:b w:val="0"/>
                <w:bCs w:val="0"/>
                <w:color w:val="auto"/>
                <w:spacing w:val="-5"/>
                <w:sz w:val="21"/>
                <w:szCs w:val="21"/>
                <w:shd w:val="clear" w:color="auto" w:fill="auto"/>
              </w:rPr>
            </w:pPr>
            <w:r>
              <w:rPr>
                <w:rFonts w:hint="eastAsia" w:ascii="Times New Roman" w:hAnsi="Times New Roman" w:eastAsia="黑体" w:cs="Times New Roman"/>
                <w:b w:val="0"/>
                <w:bCs w:val="0"/>
                <w:color w:val="auto"/>
                <w:spacing w:val="-5"/>
                <w:sz w:val="21"/>
                <w:szCs w:val="21"/>
                <w:shd w:val="clear" w:color="auto" w:fill="auto"/>
                <w:lang w:eastAsia="zh-CN"/>
              </w:rPr>
              <w:t>法律</w:t>
            </w:r>
            <w:r>
              <w:rPr>
                <w:rFonts w:hint="default" w:ascii="Times New Roman" w:hAnsi="Times New Roman" w:eastAsia="黑体" w:cs="Times New Roman"/>
                <w:b w:val="0"/>
                <w:bCs w:val="0"/>
                <w:color w:val="auto"/>
                <w:spacing w:val="-5"/>
                <w:sz w:val="21"/>
                <w:szCs w:val="21"/>
                <w:shd w:val="clear" w:color="auto" w:fill="auto"/>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 w:hRule="atLeast"/>
          <w:jc w:val="center"/>
        </w:trPr>
        <w:tc>
          <w:tcPr>
            <w:tcW w:w="25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eastAsia" w:ascii="Times New Roman" w:hAnsi="Times New Roman" w:eastAsia="仿宋_GB2312" w:cs="Times New Roman"/>
                <w:color w:val="auto"/>
                <w:spacing w:val="-5"/>
                <w:sz w:val="18"/>
                <w:szCs w:val="18"/>
                <w:lang w:val="en-US" w:eastAsia="zh-CN"/>
              </w:rPr>
            </w:pPr>
            <w:r>
              <w:rPr>
                <w:rFonts w:hint="default" w:ascii="Times New Roman" w:hAnsi="Times New Roman" w:eastAsia="仿宋_GB2312" w:cs="Times New Roman"/>
                <w:color w:val="auto"/>
                <w:spacing w:val="-5"/>
                <w:sz w:val="18"/>
                <w:szCs w:val="18"/>
                <w:lang w:val="en-US" w:eastAsia="zh-CN"/>
              </w:rPr>
              <w:t>1</w:t>
            </w:r>
          </w:p>
        </w:tc>
        <w:tc>
          <w:tcPr>
            <w:tcW w:w="421"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lang w:eastAsia="zh-CN"/>
              </w:rPr>
            </w:pPr>
            <w:r>
              <w:rPr>
                <w:rFonts w:hint="default" w:ascii="Times New Roman" w:hAnsi="Times New Roman" w:eastAsia="仿宋_GB2312" w:cs="Times New Roman"/>
                <w:color w:val="auto"/>
                <w:spacing w:val="-5"/>
                <w:sz w:val="18"/>
                <w:szCs w:val="18"/>
                <w:lang w:eastAsia="zh-CN"/>
              </w:rPr>
              <w:t>非食盐定点企业生产或批发食盐的</w:t>
            </w:r>
            <w:r>
              <w:rPr>
                <w:rFonts w:hint="eastAsia" w:ascii="Times New Roman" w:hAnsi="Times New Roman" w:cs="Times New Roman"/>
                <w:color w:val="auto"/>
                <w:spacing w:val="-5"/>
                <w:sz w:val="18"/>
                <w:szCs w:val="18"/>
                <w:lang w:eastAsia="zh-CN"/>
              </w:rPr>
              <w:t>行为</w:t>
            </w:r>
          </w:p>
        </w:tc>
        <w:tc>
          <w:tcPr>
            <w:tcW w:w="1079"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i w:val="0"/>
                <w:iCs w:val="0"/>
                <w:caps w:val="0"/>
                <w:color w:val="auto"/>
                <w:spacing w:val="-5"/>
                <w:sz w:val="18"/>
                <w:szCs w:val="18"/>
                <w:highlight w:val="none"/>
                <w:lang w:val="en-US" w:eastAsia="zh-CN"/>
              </w:rPr>
            </w:pPr>
            <w:r>
              <w:rPr>
                <w:rFonts w:hint="default" w:ascii="Times New Roman" w:hAnsi="Times New Roman" w:eastAsia="仿宋_GB2312" w:cs="Times New Roman"/>
                <w:i w:val="0"/>
                <w:iCs w:val="0"/>
                <w:caps w:val="0"/>
                <w:color w:val="auto"/>
                <w:spacing w:val="-5"/>
                <w:sz w:val="18"/>
                <w:szCs w:val="18"/>
                <w:highlight w:val="none"/>
                <w:lang w:val="en-US" w:eastAsia="zh-CN"/>
              </w:rPr>
              <w:t>1、</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2、初次违法且危害后果轻微并及时改正的。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《食盐专营办法》</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ind w:firstLine="332" w:firstLineChars="200"/>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第二十六条　有下列情形之一的，由县级以上地方人民政府盐业主管部门予以取缔，没收违法生产经营的食盐和违法所得。违法生产经营的食盐货值金额不足1万元的，可以处5万元以下的罚款；货值金额1万元以上的，并处货值金额5倍以上10倍以下的罚款：</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ind w:firstLine="332" w:firstLineChars="200"/>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（一）非食盐定点生产企业生产食盐；</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ind w:firstLine="332" w:firstLineChars="200"/>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（二）非食盐定点批发企业经营食盐批发业务。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jc w:val="center"/>
        </w:trPr>
        <w:tc>
          <w:tcPr>
            <w:tcW w:w="25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color w:val="auto"/>
                <w:spacing w:val="-5"/>
                <w:sz w:val="18"/>
                <w:szCs w:val="18"/>
                <w:lang w:val="en-US" w:eastAsia="zh-CN"/>
              </w:rPr>
            </w:pPr>
            <w:r>
              <w:rPr>
                <w:rFonts w:hint="default" w:ascii="Times New Roman" w:hAnsi="Times New Roman" w:eastAsia="仿宋_GB2312" w:cs="Times New Roman"/>
                <w:color w:val="auto"/>
                <w:spacing w:val="-5"/>
                <w:sz w:val="18"/>
                <w:szCs w:val="18"/>
                <w:lang w:val="en-US" w:eastAsia="zh-CN"/>
              </w:rPr>
              <w:t>2</w:t>
            </w:r>
          </w:p>
        </w:tc>
        <w:tc>
          <w:tcPr>
            <w:tcW w:w="421"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lang w:eastAsia="zh-CN"/>
              </w:rPr>
            </w:pPr>
            <w:r>
              <w:rPr>
                <w:rFonts w:hint="default" w:ascii="Times New Roman" w:hAnsi="Times New Roman" w:eastAsia="仿宋_GB2312" w:cs="Times New Roman"/>
                <w:color w:val="auto"/>
                <w:spacing w:val="-5"/>
                <w:sz w:val="18"/>
                <w:szCs w:val="18"/>
                <w:lang w:eastAsia="zh-CN"/>
              </w:rPr>
              <w:t>违反规定生产或批发食盐、非食用盐的</w:t>
            </w:r>
            <w:r>
              <w:rPr>
                <w:rFonts w:hint="eastAsia" w:ascii="Times New Roman" w:hAnsi="Times New Roman" w:cs="Times New Roman"/>
                <w:color w:val="auto"/>
                <w:spacing w:val="-5"/>
                <w:sz w:val="18"/>
                <w:szCs w:val="18"/>
                <w:lang w:eastAsia="zh-CN"/>
              </w:rPr>
              <w:t>行为</w:t>
            </w:r>
          </w:p>
        </w:tc>
        <w:tc>
          <w:tcPr>
            <w:tcW w:w="1079"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i w:val="0"/>
                <w:iCs w:val="0"/>
                <w:caps w:val="0"/>
                <w:color w:val="auto"/>
                <w:spacing w:val="-5"/>
                <w:sz w:val="18"/>
                <w:szCs w:val="18"/>
                <w:highlight w:val="none"/>
                <w:lang w:val="en-US" w:eastAsia="zh-CN"/>
              </w:rPr>
            </w:pPr>
            <w:r>
              <w:rPr>
                <w:rFonts w:hint="default" w:ascii="Times New Roman" w:hAnsi="Times New Roman" w:eastAsia="仿宋_GB2312" w:cs="Times New Roman"/>
                <w:i w:val="0"/>
                <w:iCs w:val="0"/>
                <w:caps w:val="0"/>
                <w:color w:val="auto"/>
                <w:spacing w:val="-5"/>
                <w:sz w:val="18"/>
                <w:szCs w:val="18"/>
                <w:highlight w:val="none"/>
                <w:lang w:val="en-US" w:eastAsia="zh-CN"/>
              </w:rPr>
              <w:t>1、</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2、初次违法且危害后果轻微并及时改正的。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《食盐专营办法》</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ind w:firstLine="482"/>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第二十七条　有下列情形之一的，由县级以上地方人民政府盐业主管部门责令改正，处5000元以上5万元以下的罚款；情节严重的，责令停产停业整顿，直至吊销食盐定点生产、食盐定点批发企业证书：</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220" w:lineRule="exact"/>
              <w:ind w:firstLine="332" w:firstLineChars="200"/>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eastAsia" w:eastAsia="仿宋_GB2312" w:cs="Times New Roman"/>
                <w:color w:val="auto"/>
                <w:spacing w:val="-5"/>
                <w:kern w:val="2"/>
                <w:sz w:val="18"/>
                <w:szCs w:val="18"/>
                <w:lang w:val="en-US" w:eastAsia="zh-CN" w:bidi="ar-SA"/>
              </w:rPr>
              <w:t>（一）</w:t>
            </w:r>
            <w:r>
              <w:rPr>
                <w:rFonts w:hint="default" w:ascii="Times New Roman" w:hAnsi="Times New Roman" w:eastAsia="仿宋_GB2312" w:cs="Times New Roman"/>
                <w:color w:val="auto"/>
                <w:spacing w:val="-5"/>
                <w:kern w:val="2"/>
                <w:sz w:val="18"/>
                <w:szCs w:val="18"/>
                <w:lang w:val="en-US" w:eastAsia="zh-CN" w:bidi="ar-SA"/>
              </w:rPr>
              <w:t>食盐定点生产企业、非食用盐生产企业未按照本办法规定保存生产销售记录；</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220" w:lineRule="exact"/>
              <w:ind w:firstLine="332" w:firstLineChars="200"/>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eastAsia" w:eastAsia="仿宋_GB2312" w:cs="Times New Roman"/>
                <w:color w:val="auto"/>
                <w:spacing w:val="-5"/>
                <w:kern w:val="2"/>
                <w:sz w:val="18"/>
                <w:szCs w:val="18"/>
                <w:lang w:val="en-US" w:eastAsia="zh-CN" w:bidi="ar-SA"/>
              </w:rPr>
              <w:t>（二）</w:t>
            </w:r>
            <w:r>
              <w:rPr>
                <w:rFonts w:hint="default" w:ascii="Times New Roman" w:hAnsi="Times New Roman" w:eastAsia="仿宋_GB2312" w:cs="Times New Roman"/>
                <w:color w:val="auto"/>
                <w:spacing w:val="-5"/>
                <w:kern w:val="2"/>
                <w:sz w:val="18"/>
                <w:szCs w:val="18"/>
                <w:lang w:val="en-US" w:eastAsia="zh-CN" w:bidi="ar-SA"/>
              </w:rPr>
              <w:t>食盐定点批发企业未按照本办法规定保存采购销售记录；</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220" w:lineRule="exact"/>
              <w:ind w:firstLine="332" w:firstLineChars="200"/>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eastAsia" w:eastAsia="仿宋_GB2312" w:cs="Times New Roman"/>
                <w:color w:val="auto"/>
                <w:spacing w:val="-5"/>
                <w:kern w:val="2"/>
                <w:sz w:val="18"/>
                <w:szCs w:val="18"/>
                <w:lang w:val="en-US" w:eastAsia="zh-CN" w:bidi="ar-SA"/>
              </w:rPr>
              <w:t>（三）</w:t>
            </w:r>
            <w:r>
              <w:rPr>
                <w:rFonts w:hint="default" w:ascii="Times New Roman" w:hAnsi="Times New Roman" w:eastAsia="仿宋_GB2312" w:cs="Times New Roman"/>
                <w:color w:val="auto"/>
                <w:spacing w:val="-5"/>
                <w:kern w:val="2"/>
                <w:sz w:val="18"/>
                <w:szCs w:val="18"/>
                <w:lang w:val="en-US" w:eastAsia="zh-CN" w:bidi="ar-SA"/>
              </w:rPr>
              <w:t>食盐定点批发企业超出国家规定的范围销售食盐；</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220" w:lineRule="exact"/>
              <w:ind w:firstLine="332" w:firstLineChars="200"/>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（四）将非食用盐产品作为食盐销售。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4" w:hRule="atLeast"/>
          <w:jc w:val="center"/>
        </w:trPr>
        <w:tc>
          <w:tcPr>
            <w:tcW w:w="25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3</w:t>
            </w:r>
          </w:p>
        </w:tc>
        <w:tc>
          <w:tcPr>
            <w:tcW w:w="421"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eastAsia="zh-CN"/>
              </w:rPr>
              <w:t>违反规定购进食盐的</w:t>
            </w:r>
            <w:r>
              <w:rPr>
                <w:rFonts w:hint="eastAsia" w:ascii="Times New Roman" w:hAnsi="Times New Roman" w:cs="Times New Roman"/>
                <w:color w:val="auto"/>
                <w:spacing w:val="-5"/>
                <w:sz w:val="18"/>
                <w:szCs w:val="18"/>
                <w:lang w:eastAsia="zh-CN"/>
              </w:rPr>
              <w:t>行为</w:t>
            </w:r>
          </w:p>
        </w:tc>
        <w:tc>
          <w:tcPr>
            <w:tcW w:w="1079"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i w:val="0"/>
                <w:iCs w:val="0"/>
                <w:caps w:val="0"/>
                <w:color w:val="auto"/>
                <w:spacing w:val="-5"/>
                <w:sz w:val="18"/>
                <w:szCs w:val="18"/>
                <w:highlight w:val="none"/>
                <w:lang w:val="en-US" w:eastAsia="zh-CN"/>
              </w:rPr>
            </w:pPr>
            <w:r>
              <w:rPr>
                <w:rFonts w:hint="default" w:ascii="Times New Roman" w:hAnsi="Times New Roman" w:eastAsia="仿宋_GB2312" w:cs="Times New Roman"/>
                <w:i w:val="0"/>
                <w:iCs w:val="0"/>
                <w:caps w:val="0"/>
                <w:color w:val="auto"/>
                <w:spacing w:val="-5"/>
                <w:sz w:val="18"/>
                <w:szCs w:val="18"/>
                <w:highlight w:val="none"/>
                <w:lang w:val="en-US" w:eastAsia="zh-CN"/>
              </w:rPr>
              <w:t>1、</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2、初次违法且危害后果轻微并及时改正的。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《食盐专营办法》</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ind w:firstLine="482"/>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第二十八条　有下列情形之一的，由县级以上地方人民政府盐业主管部门责令改正，没收违法购进的食盐，可以处违法购进的食盐货值金额3倍以下的罚款：</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ind w:firstLine="482"/>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（一）食盐定点批发企业从除食盐定点生产企业、其他食盐定点批发企业以外的单位或者个人购进食盐；</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ind w:firstLine="482"/>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（二）食盐零售单位从食盐定点批发企业以外的单位或者个人购进食盐。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7" w:hRule="atLeast"/>
          <w:jc w:val="center"/>
        </w:trPr>
        <w:tc>
          <w:tcPr>
            <w:tcW w:w="25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4</w:t>
            </w:r>
          </w:p>
        </w:tc>
        <w:tc>
          <w:tcPr>
            <w:tcW w:w="421"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eastAsia="zh-CN"/>
              </w:rPr>
              <w:t>未按规定作出食盐或非食用盐标识的</w:t>
            </w:r>
            <w:r>
              <w:rPr>
                <w:rFonts w:hint="eastAsia" w:ascii="Times New Roman" w:hAnsi="Times New Roman" w:cs="Times New Roman"/>
                <w:color w:val="auto"/>
                <w:spacing w:val="-5"/>
                <w:sz w:val="18"/>
                <w:szCs w:val="18"/>
                <w:lang w:eastAsia="zh-CN"/>
              </w:rPr>
              <w:t>行为</w:t>
            </w:r>
          </w:p>
        </w:tc>
        <w:tc>
          <w:tcPr>
            <w:tcW w:w="1079"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i w:val="0"/>
                <w:iCs w:val="0"/>
                <w:caps w:val="0"/>
                <w:color w:val="auto"/>
                <w:spacing w:val="-5"/>
                <w:sz w:val="18"/>
                <w:szCs w:val="18"/>
                <w:highlight w:val="none"/>
                <w:lang w:val="en-US" w:eastAsia="zh-CN"/>
              </w:rPr>
            </w:pPr>
            <w:r>
              <w:rPr>
                <w:rFonts w:hint="default" w:ascii="Times New Roman" w:hAnsi="Times New Roman" w:eastAsia="仿宋_GB2312" w:cs="Times New Roman"/>
                <w:color w:val="auto"/>
                <w:spacing w:val="-5"/>
                <w:kern w:val="2"/>
                <w:sz w:val="18"/>
                <w:szCs w:val="18"/>
                <w:lang w:val="en-US" w:eastAsia="zh-CN" w:bidi="ar-SA"/>
              </w:rPr>
              <w:t>1、</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2、初次违法且危害后果轻微并及时改正的。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kinsoku/>
              <w:wordWrap/>
              <w:overflowPunct/>
              <w:topLinePunct w:val="0"/>
              <w:autoSpaceDE/>
              <w:autoSpaceDN/>
              <w:bidi w:val="0"/>
              <w:adjustRightInd/>
              <w:snapToGrid/>
              <w:spacing w:beforeAutospacing="0" w:afterAutospacing="0" w:line="220" w:lineRule="exact"/>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《食盐专营办法》</w:t>
            </w:r>
          </w:p>
          <w:p>
            <w:pPr>
              <w:keepNext w:val="0"/>
              <w:keepLines w:val="0"/>
              <w:pageBreakBefore w:val="0"/>
              <w:kinsoku/>
              <w:wordWrap/>
              <w:overflowPunct/>
              <w:topLinePunct w:val="0"/>
              <w:autoSpaceDE/>
              <w:autoSpaceDN/>
              <w:bidi w:val="0"/>
              <w:adjustRightInd/>
              <w:snapToGrid/>
              <w:spacing w:beforeAutospacing="0" w:afterAutospacing="0" w:line="220" w:lineRule="exact"/>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第二十九条　未按照本办法第十条的规定作出标识的，由有关主管部门依据职责分工，责令改正，可以处5万元以下的罚款。</w:t>
            </w:r>
          </w:p>
          <w:p>
            <w:pPr>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《四川省盐业管理条例》　第二十条  违反本条例第八条第二款、第三款规定，未在食盐包装上加贴追溯标识、印制食盐定点生产企业证书编号，或者工业用盐等非食用盐未按照国家规定在包装上作出标识的，由县级以上地方人民政府盐业主管部门责令改正，可以处五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4" w:hRule="atLeast"/>
          <w:jc w:val="center"/>
        </w:trPr>
        <w:tc>
          <w:tcPr>
            <w:tcW w:w="25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5</w:t>
            </w:r>
          </w:p>
        </w:tc>
        <w:tc>
          <w:tcPr>
            <w:tcW w:w="421"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食盐定点企业违反规定聘用禁业限制人员的</w:t>
            </w:r>
            <w:r>
              <w:rPr>
                <w:rFonts w:hint="eastAsia" w:ascii="Times New Roman" w:hAnsi="Times New Roman" w:cs="Times New Roman"/>
                <w:color w:val="auto"/>
                <w:spacing w:val="-5"/>
                <w:kern w:val="2"/>
                <w:sz w:val="18"/>
                <w:szCs w:val="18"/>
                <w:lang w:val="en-US" w:eastAsia="zh-CN" w:bidi="ar-SA"/>
              </w:rPr>
              <w:t>行为</w:t>
            </w:r>
          </w:p>
        </w:tc>
        <w:tc>
          <w:tcPr>
            <w:tcW w:w="1079"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i w:val="0"/>
                <w:iCs w:val="0"/>
                <w:caps w:val="0"/>
                <w:color w:val="auto"/>
                <w:spacing w:val="-5"/>
                <w:sz w:val="18"/>
                <w:szCs w:val="18"/>
                <w:highlight w:val="none"/>
                <w:lang w:val="en-US" w:eastAsia="zh-CN"/>
              </w:rPr>
            </w:pPr>
            <w:r>
              <w:rPr>
                <w:rFonts w:hint="default" w:ascii="Times New Roman" w:hAnsi="Times New Roman" w:eastAsia="仿宋_GB2312" w:cs="Times New Roman"/>
                <w:color w:val="auto"/>
                <w:spacing w:val="-5"/>
                <w:kern w:val="2"/>
                <w:sz w:val="18"/>
                <w:szCs w:val="18"/>
                <w:lang w:val="en-US" w:eastAsia="zh-CN" w:bidi="ar-SA"/>
              </w:rPr>
              <w:t>1、</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2、初次违法且危害后果轻微并及时改正的。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lang w:val="en-US"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highlight w:val="none"/>
                <w:lang w:val="en-US" w:eastAsia="zh-CN"/>
              </w:rPr>
              <w:t>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《食盐专营办法》</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第三十一条第二款　食盐定点生产企业、食盐定点批发企业违反前款规定聘用人员的，由盐业主管部门责令改正；拒不改正的，吊销其食盐定点生产、食盐定点批发企业证书。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7" w:hRule="atLeast"/>
          <w:jc w:val="center"/>
        </w:trPr>
        <w:tc>
          <w:tcPr>
            <w:tcW w:w="256" w:type="pct"/>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color w:val="auto"/>
                <w:spacing w:val="-5"/>
                <w:sz w:val="18"/>
                <w:szCs w:val="18"/>
                <w:lang w:val="en-US" w:eastAsia="zh-CN"/>
              </w:rPr>
            </w:pPr>
            <w:r>
              <w:rPr>
                <w:rFonts w:hint="default" w:ascii="Times New Roman" w:hAnsi="Times New Roman" w:eastAsia="仿宋_GB2312" w:cs="Times New Roman"/>
                <w:color w:val="auto"/>
                <w:spacing w:val="-5"/>
                <w:sz w:val="18"/>
                <w:szCs w:val="18"/>
                <w:lang w:val="en-US" w:eastAsia="zh-CN"/>
              </w:rPr>
              <w:t>6</w:t>
            </w:r>
          </w:p>
        </w:tc>
        <w:tc>
          <w:tcPr>
            <w:tcW w:w="421" w:type="pct"/>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lang w:val="en-US" w:eastAsia="zh-CN"/>
              </w:rPr>
            </w:pPr>
            <w:r>
              <w:rPr>
                <w:rFonts w:hint="default" w:ascii="Times New Roman" w:hAnsi="Times New Roman" w:eastAsia="仿宋_GB2312" w:cs="Times New Roman"/>
                <w:color w:val="auto"/>
                <w:spacing w:val="-5"/>
                <w:sz w:val="18"/>
                <w:szCs w:val="18"/>
                <w:lang w:eastAsia="zh-CN"/>
              </w:rPr>
              <w:t>企业以分拆项目、隐瞒有关情况或者提供虚假申报材料等不正当手段申请项目核准、备案的</w:t>
            </w:r>
            <w:r>
              <w:rPr>
                <w:rFonts w:hint="eastAsia" w:ascii="Times New Roman" w:hAnsi="Times New Roman" w:cs="Times New Roman"/>
                <w:color w:val="auto"/>
                <w:spacing w:val="-5"/>
                <w:sz w:val="18"/>
                <w:szCs w:val="18"/>
                <w:lang w:eastAsia="zh-CN"/>
              </w:rPr>
              <w:t>行为</w:t>
            </w:r>
          </w:p>
        </w:tc>
        <w:tc>
          <w:tcPr>
            <w:tcW w:w="1079"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lang w:val="en-US" w:eastAsia="zh-CN"/>
              </w:rPr>
            </w:pPr>
            <w:r>
              <w:rPr>
                <w:rFonts w:hint="default" w:ascii="Times New Roman" w:hAnsi="Times New Roman" w:eastAsia="仿宋_GB2312" w:cs="Times New Roman"/>
                <w:color w:val="auto"/>
                <w:spacing w:val="-5"/>
                <w:sz w:val="18"/>
                <w:szCs w:val="18"/>
                <w:lang w:val="en-US" w:eastAsia="zh-CN"/>
              </w:rPr>
              <w:t>有下列情形之一的，依法不予行政处罚:</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一）违法行为人年龄不满14周岁的;（二）精神病人、智力残疾人在不能辨认或者不能控制自己行为时有违法行为的;（三）违法行为轻微并及时纠正，没有造成危害后果的;（四）当事人有证据足以证明没有主观过错的；（五）违法行为在二年内未被发现的，但法律另有规定的除外;（六）其他依法不予处罚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《企业投资项目核准和备案管理办法》</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第五十五条  企业以分拆项目、隐瞒有关情况或者提供虚假申报材料等不正当手段申请核准、备案的，项目核准机关不受理或者不予核准、备案，并给予警告。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256" w:type="pct"/>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color w:val="auto"/>
                <w:spacing w:val="-5"/>
                <w:sz w:val="18"/>
                <w:szCs w:val="18"/>
              </w:rPr>
            </w:pPr>
          </w:p>
        </w:tc>
        <w:tc>
          <w:tcPr>
            <w:tcW w:w="421" w:type="pct"/>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rPr>
            </w:pPr>
          </w:p>
        </w:tc>
        <w:tc>
          <w:tcPr>
            <w:tcW w:w="1079" w:type="pct"/>
            <w:noWrap w:val="0"/>
            <w:vAlign w:val="center"/>
          </w:tcPr>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lang w:val="en-US" w:eastAsia="zh-CN"/>
              </w:rPr>
            </w:pPr>
            <w:r>
              <w:rPr>
                <w:rFonts w:hint="default" w:ascii="Times New Roman" w:hAnsi="Times New Roman" w:eastAsia="仿宋_GB2312" w:cs="Times New Roman"/>
                <w:color w:val="auto"/>
                <w:spacing w:val="-5"/>
                <w:sz w:val="18"/>
                <w:szCs w:val="18"/>
                <w:lang w:val="en-US" w:eastAsia="zh-CN"/>
              </w:rPr>
              <w:t>有下列情形之一的，依法免予行政处罚：</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220" w:lineRule="exact"/>
              <w:ind w:left="0" w:leftChars="0" w:firstLine="0" w:firstLineChars="0"/>
              <w:jc w:val="both"/>
              <w:textAlignment w:val="auto"/>
              <w:rPr>
                <w:rFonts w:hint="default" w:ascii="Times New Roman" w:hAnsi="Times New Roman" w:eastAsia="仿宋_GB2312" w:cs="Times New Roman"/>
                <w:color w:val="auto"/>
                <w:spacing w:val="-5"/>
                <w:sz w:val="18"/>
                <w:szCs w:val="18"/>
              </w:rPr>
            </w:pPr>
            <w:r>
              <w:rPr>
                <w:rFonts w:hint="default" w:ascii="Times New Roman" w:hAnsi="Times New Roman" w:eastAsia="仿宋_GB2312" w:cs="Times New Roman"/>
                <w:color w:val="auto"/>
                <w:spacing w:val="-5"/>
                <w:sz w:val="18"/>
                <w:szCs w:val="18"/>
                <w:lang w:val="en-US" w:eastAsia="zh-CN"/>
              </w:rPr>
              <w:t>（一）初次违法且危害后果轻微并及时改正的;（二）其他依法免予处罚的。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6" w:hRule="atLeast"/>
          <w:jc w:val="center"/>
        </w:trPr>
        <w:tc>
          <w:tcPr>
            <w:tcW w:w="256" w:type="pct"/>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color w:val="auto"/>
                <w:spacing w:val="-5"/>
                <w:sz w:val="18"/>
                <w:szCs w:val="18"/>
                <w:lang w:val="en-US" w:eastAsia="zh-CN"/>
              </w:rPr>
            </w:pPr>
            <w:r>
              <w:rPr>
                <w:rFonts w:hint="default" w:ascii="Times New Roman" w:hAnsi="Times New Roman" w:eastAsia="仿宋_GB2312" w:cs="Times New Roman"/>
                <w:color w:val="auto"/>
                <w:spacing w:val="-5"/>
                <w:sz w:val="18"/>
                <w:szCs w:val="18"/>
                <w:lang w:val="en-US" w:eastAsia="zh-CN"/>
              </w:rPr>
              <w:t>7</w:t>
            </w:r>
          </w:p>
        </w:tc>
        <w:tc>
          <w:tcPr>
            <w:tcW w:w="421" w:type="pct"/>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lang w:eastAsia="zh-CN"/>
              </w:rPr>
            </w:pPr>
            <w:r>
              <w:rPr>
                <w:rFonts w:hint="default" w:ascii="Times New Roman" w:hAnsi="Times New Roman" w:eastAsia="仿宋_GB2312" w:cs="Times New Roman"/>
                <w:color w:val="auto"/>
                <w:spacing w:val="-5"/>
                <w:sz w:val="18"/>
                <w:szCs w:val="18"/>
                <w:lang w:eastAsia="zh-CN"/>
              </w:rPr>
              <w:t>企业未依法办理核准手续开工建设或者未按照核准的建设地点、建设规模、建设内容等进行建设的</w:t>
            </w:r>
            <w:r>
              <w:rPr>
                <w:rFonts w:hint="eastAsia" w:ascii="Times New Roman" w:hAnsi="Times New Roman" w:cs="Times New Roman"/>
                <w:color w:val="auto"/>
                <w:spacing w:val="-5"/>
                <w:sz w:val="18"/>
                <w:szCs w:val="18"/>
                <w:lang w:eastAsia="zh-CN"/>
              </w:rPr>
              <w:t>行为</w:t>
            </w:r>
          </w:p>
        </w:tc>
        <w:tc>
          <w:tcPr>
            <w:tcW w:w="1079"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lang w:val="en-US" w:eastAsia="zh-CN"/>
              </w:rPr>
            </w:pPr>
            <w:r>
              <w:rPr>
                <w:rFonts w:hint="default" w:ascii="Times New Roman" w:hAnsi="Times New Roman" w:eastAsia="仿宋_GB2312" w:cs="Times New Roman"/>
                <w:color w:val="auto"/>
                <w:spacing w:val="-5"/>
                <w:sz w:val="18"/>
                <w:szCs w:val="18"/>
                <w:lang w:val="en-US" w:eastAsia="zh-CN"/>
              </w:rPr>
              <w:t>有下列情形之一的，依法不予行政处罚:</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一）违法行为人年龄不满14周岁的;（二）精神病人、智力残疾人在不能辨认或者不能控制自己行为时有违法行为的;（三）违法行为轻微并及时纠正，没有造成危害后果的;（四）当事人有证据足以证明没有主观过错的；（五）违法行为在二年内未被发现的，但法律另有规定的除外;（六）其他依法不予处罚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《企业投资项目核准和备案管理条例》</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第十八条  实行核准管理的项目，企业未依照本条例规定办理核准手续开工建设或者未按照核准的建设地点、建设规模、建设内容等进行建设的，由核准机关责令停止建设或者责令停产，对企业处项目总投资额1‰以上5‰以下的罚款；对直接负责的主管人员和其他直接责任人员处2万元以上5万元以下的罚款，属于国家工作人员的，依法给予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jc w:val="center"/>
        </w:trPr>
        <w:tc>
          <w:tcPr>
            <w:tcW w:w="256" w:type="pct"/>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color w:val="auto"/>
                <w:spacing w:val="-5"/>
                <w:sz w:val="18"/>
                <w:szCs w:val="18"/>
              </w:rPr>
            </w:pPr>
          </w:p>
        </w:tc>
        <w:tc>
          <w:tcPr>
            <w:tcW w:w="421" w:type="pct"/>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rPr>
            </w:pPr>
          </w:p>
        </w:tc>
        <w:tc>
          <w:tcPr>
            <w:tcW w:w="1079" w:type="pct"/>
            <w:noWrap w:val="0"/>
            <w:vAlign w:val="center"/>
          </w:tcPr>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lang w:val="en-US" w:eastAsia="zh-CN"/>
              </w:rPr>
            </w:pPr>
            <w:r>
              <w:rPr>
                <w:rFonts w:hint="default" w:ascii="Times New Roman" w:hAnsi="Times New Roman" w:eastAsia="仿宋_GB2312" w:cs="Times New Roman"/>
                <w:color w:val="auto"/>
                <w:spacing w:val="-5"/>
                <w:sz w:val="18"/>
                <w:szCs w:val="18"/>
                <w:lang w:val="en-US" w:eastAsia="zh-CN"/>
              </w:rPr>
              <w:t>有下列情形之一的，依法免予行政处罚：</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220" w:lineRule="exact"/>
              <w:ind w:left="0" w:leftChars="0" w:firstLine="0" w:firstLineChars="0"/>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（一）初次违法且危害后果轻微并及时改正的;（二）其他依法免予处罚的。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jc w:val="center"/>
        </w:trPr>
        <w:tc>
          <w:tcPr>
            <w:tcW w:w="256" w:type="pct"/>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8</w:t>
            </w:r>
          </w:p>
        </w:tc>
        <w:tc>
          <w:tcPr>
            <w:tcW w:w="421" w:type="pct"/>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企业以欺骗、贿赂等不正当手段取得项目核准文件的</w:t>
            </w:r>
            <w:r>
              <w:rPr>
                <w:rFonts w:hint="eastAsia" w:ascii="Times New Roman" w:hAnsi="Times New Roman" w:cs="Times New Roman"/>
                <w:color w:val="auto"/>
                <w:spacing w:val="-5"/>
                <w:kern w:val="2"/>
                <w:sz w:val="18"/>
                <w:szCs w:val="18"/>
                <w:lang w:val="en-US" w:eastAsia="zh-CN" w:bidi="ar-SA"/>
              </w:rPr>
              <w:t>行为</w:t>
            </w:r>
          </w:p>
        </w:tc>
        <w:tc>
          <w:tcPr>
            <w:tcW w:w="1079"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lang w:val="en-US" w:eastAsia="zh-CN"/>
              </w:rPr>
            </w:pPr>
            <w:r>
              <w:rPr>
                <w:rFonts w:hint="default" w:ascii="Times New Roman" w:hAnsi="Times New Roman" w:eastAsia="仿宋_GB2312" w:cs="Times New Roman"/>
                <w:color w:val="auto"/>
                <w:spacing w:val="-5"/>
                <w:sz w:val="18"/>
                <w:szCs w:val="18"/>
                <w:lang w:val="en-US" w:eastAsia="zh-CN"/>
              </w:rPr>
              <w:t>有下列情形之一的，依法不予行政处罚:</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一）违法行为人年龄不满14周岁的;（二）精神病人、智力残疾人在不能辨认或者不能控制自己行为时有违法行为的;（三）违法行为轻微并及时纠正，没有造成危害后果的;（四）当事人有证据足以证明没有主观过错的；（五）违法行为在二年内未被发现的，但法律另有规定的除外;（六）其他依法不予处罚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《企业投资项目核准和备案管理条例》</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第十八条  以欺骗、贿赂等不正当手段取得项目核准文件，尚未开工建设的，由核准机关撤销核准文件，处项目总投资额1‰以上5‰以下的罚款；已经开工建设的，依照前款规定予以处罚；构成犯罪的，依法追究刑事责任。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256" w:type="pct"/>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color w:val="auto"/>
                <w:spacing w:val="-5"/>
                <w:sz w:val="18"/>
                <w:szCs w:val="18"/>
              </w:rPr>
            </w:pPr>
          </w:p>
        </w:tc>
        <w:tc>
          <w:tcPr>
            <w:tcW w:w="421" w:type="pct"/>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rPr>
            </w:pPr>
          </w:p>
        </w:tc>
        <w:tc>
          <w:tcPr>
            <w:tcW w:w="1079" w:type="pct"/>
            <w:noWrap w:val="0"/>
            <w:vAlign w:val="center"/>
          </w:tcPr>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lang w:val="en-US" w:eastAsia="zh-CN"/>
              </w:rPr>
            </w:pPr>
            <w:r>
              <w:rPr>
                <w:rFonts w:hint="default" w:ascii="Times New Roman" w:hAnsi="Times New Roman" w:eastAsia="仿宋_GB2312" w:cs="Times New Roman"/>
                <w:color w:val="auto"/>
                <w:spacing w:val="-5"/>
                <w:sz w:val="18"/>
                <w:szCs w:val="18"/>
                <w:lang w:val="en-US" w:eastAsia="zh-CN"/>
              </w:rPr>
              <w:t>有下列情形之一的，依法免</w:t>
            </w:r>
            <w:r>
              <w:rPr>
                <w:rFonts w:hint="default" w:ascii="Times New Roman" w:hAnsi="Times New Roman" w:eastAsia="仿宋_GB2312" w:cs="Times New Roman"/>
                <w:color w:val="auto"/>
                <w:spacing w:val="-5"/>
                <w:kern w:val="2"/>
                <w:sz w:val="18"/>
                <w:szCs w:val="18"/>
                <w:lang w:val="en-US" w:eastAsia="zh-CN" w:bidi="ar-SA"/>
              </w:rPr>
              <w:t>予</w:t>
            </w:r>
            <w:r>
              <w:rPr>
                <w:rFonts w:hint="default" w:ascii="Times New Roman" w:hAnsi="Times New Roman" w:eastAsia="仿宋_GB2312" w:cs="Times New Roman"/>
                <w:color w:val="auto"/>
                <w:spacing w:val="-5"/>
                <w:sz w:val="18"/>
                <w:szCs w:val="18"/>
                <w:lang w:val="en-US" w:eastAsia="zh-CN"/>
              </w:rPr>
              <w:t>行政处罚：</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220" w:lineRule="exact"/>
              <w:ind w:left="0" w:leftChars="0" w:firstLine="0" w:firstLineChars="0"/>
              <w:jc w:val="both"/>
              <w:textAlignment w:val="auto"/>
              <w:rPr>
                <w:rFonts w:hint="default" w:ascii="Times New Roman" w:hAnsi="Times New Roman" w:eastAsia="仿宋_GB2312" w:cs="Times New Roman"/>
                <w:color w:val="auto"/>
                <w:spacing w:val="-5"/>
                <w:sz w:val="18"/>
                <w:szCs w:val="18"/>
              </w:rPr>
            </w:pPr>
            <w:r>
              <w:rPr>
                <w:rFonts w:hint="default" w:ascii="Times New Roman" w:hAnsi="Times New Roman" w:eastAsia="仿宋_GB2312" w:cs="Times New Roman"/>
                <w:color w:val="auto"/>
                <w:spacing w:val="-5"/>
                <w:sz w:val="18"/>
                <w:szCs w:val="18"/>
                <w:lang w:val="en-US" w:eastAsia="zh-CN"/>
              </w:rPr>
              <w:t>（一）初次违法且危害后果轻微并及时改正的;（二）其他依法免予处罚的。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jc w:val="center"/>
        </w:trPr>
        <w:tc>
          <w:tcPr>
            <w:tcW w:w="256" w:type="pct"/>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9</w:t>
            </w:r>
          </w:p>
        </w:tc>
        <w:tc>
          <w:tcPr>
            <w:tcW w:w="421" w:type="pct"/>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企业未依法将备案制项目信息或者已备案项目信息变更情况告知备案机关，或者向备案机关提供虚假信息的</w:t>
            </w:r>
            <w:r>
              <w:rPr>
                <w:rFonts w:hint="eastAsia" w:ascii="Times New Roman" w:hAnsi="Times New Roman" w:cs="Times New Roman"/>
                <w:color w:val="auto"/>
                <w:spacing w:val="-5"/>
                <w:kern w:val="2"/>
                <w:sz w:val="18"/>
                <w:szCs w:val="18"/>
                <w:lang w:val="en-US" w:eastAsia="zh-CN" w:bidi="ar-SA"/>
              </w:rPr>
              <w:t>行为</w:t>
            </w:r>
          </w:p>
        </w:tc>
        <w:tc>
          <w:tcPr>
            <w:tcW w:w="1079"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lang w:val="en-US" w:eastAsia="zh-CN"/>
              </w:rPr>
            </w:pPr>
            <w:r>
              <w:rPr>
                <w:rFonts w:hint="default" w:ascii="Times New Roman" w:hAnsi="Times New Roman" w:eastAsia="仿宋_GB2312" w:cs="Times New Roman"/>
                <w:color w:val="auto"/>
                <w:spacing w:val="-5"/>
                <w:sz w:val="18"/>
                <w:szCs w:val="18"/>
                <w:lang w:val="en-US" w:eastAsia="zh-CN"/>
              </w:rPr>
              <w:t>有下列情形之一的，依法不予行政处罚:</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一）违法行为人年龄不满14周岁的;（二）精神病人、智力残疾人在不能辨认或者不能控制自己行为时有违法行为的;（三）违法行为轻微并及时纠正，没有造成危害后果的;（四）当事人有证据足以证明没有主观过错的；（五）违法行为在二年内未被发现的，但法律另有规定的除外;（六）其他依法不予处罚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责令限期改正，不实施行政处罚</w:t>
            </w:r>
          </w:p>
        </w:tc>
        <w:tc>
          <w:tcPr>
            <w:tcW w:w="2111" w:type="pct"/>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《企业投资项目核准和备案管理条例》</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第十九条  实行备案管理的项目，企业未依照本条例规定将项目信息或者已备案项目的信息变更情况告知备案机关，或者向备案机关提供虚假信息的，由备案机关责令限期改正;逾期不改正的，处2万元以上5万元以下的罚款。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256" w:type="pct"/>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color w:val="auto"/>
                <w:spacing w:val="-5"/>
                <w:sz w:val="18"/>
                <w:szCs w:val="18"/>
              </w:rPr>
            </w:pPr>
          </w:p>
        </w:tc>
        <w:tc>
          <w:tcPr>
            <w:tcW w:w="421" w:type="pct"/>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rPr>
            </w:pPr>
          </w:p>
        </w:tc>
        <w:tc>
          <w:tcPr>
            <w:tcW w:w="1079" w:type="pct"/>
            <w:noWrap w:val="0"/>
            <w:vAlign w:val="center"/>
          </w:tcPr>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lang w:val="en-US" w:eastAsia="zh-CN"/>
              </w:rPr>
            </w:pPr>
            <w:r>
              <w:rPr>
                <w:rFonts w:hint="default" w:ascii="Times New Roman" w:hAnsi="Times New Roman" w:eastAsia="仿宋_GB2312" w:cs="Times New Roman"/>
                <w:color w:val="auto"/>
                <w:spacing w:val="-5"/>
                <w:sz w:val="18"/>
                <w:szCs w:val="18"/>
                <w:lang w:val="en-US" w:eastAsia="zh-CN"/>
              </w:rPr>
              <w:t>有下列情形之一的，依法免予行政处罚：</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220" w:lineRule="exact"/>
              <w:ind w:left="0" w:leftChars="0" w:firstLine="0" w:firstLineChars="0"/>
              <w:jc w:val="both"/>
              <w:textAlignment w:val="auto"/>
              <w:rPr>
                <w:rFonts w:hint="default" w:ascii="Times New Roman" w:hAnsi="Times New Roman" w:eastAsia="仿宋_GB2312" w:cs="Times New Roman"/>
                <w:color w:val="auto"/>
                <w:spacing w:val="-5"/>
                <w:sz w:val="18"/>
                <w:szCs w:val="18"/>
              </w:rPr>
            </w:pPr>
            <w:r>
              <w:rPr>
                <w:rFonts w:hint="default" w:ascii="Times New Roman" w:hAnsi="Times New Roman" w:eastAsia="仿宋_GB2312" w:cs="Times New Roman"/>
                <w:color w:val="auto"/>
                <w:spacing w:val="-5"/>
                <w:sz w:val="18"/>
                <w:szCs w:val="18"/>
                <w:lang w:val="en-US" w:eastAsia="zh-CN"/>
              </w:rPr>
              <w:t>（一）初次违法且危害后果轻微并及时改正的;（二）其他依法免予处罚的。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rPr>
            </w:pPr>
            <w:r>
              <w:rPr>
                <w:rFonts w:hint="default" w:ascii="Times New Roman" w:hAnsi="Times New Roman" w:eastAsia="仿宋_GB2312" w:cs="Times New Roman"/>
                <w:color w:val="auto"/>
                <w:spacing w:val="-5"/>
                <w:sz w:val="18"/>
                <w:szCs w:val="18"/>
                <w:lang w:val="en-US" w:eastAsia="zh-CN"/>
              </w:rPr>
              <w:t>责令限期改正，不实施行政处罚</w:t>
            </w:r>
          </w:p>
        </w:tc>
        <w:tc>
          <w:tcPr>
            <w:tcW w:w="2111" w:type="pct"/>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3" w:hRule="atLeast"/>
          <w:jc w:val="center"/>
        </w:trPr>
        <w:tc>
          <w:tcPr>
            <w:tcW w:w="256" w:type="pct"/>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10</w:t>
            </w:r>
          </w:p>
        </w:tc>
        <w:tc>
          <w:tcPr>
            <w:tcW w:w="421" w:type="pct"/>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企业投资建设产业政策禁止投资建设项目的</w:t>
            </w:r>
            <w:r>
              <w:rPr>
                <w:rFonts w:hint="eastAsia" w:ascii="Times New Roman" w:hAnsi="Times New Roman" w:cs="Times New Roman"/>
                <w:color w:val="auto"/>
                <w:spacing w:val="-5"/>
                <w:kern w:val="2"/>
                <w:sz w:val="18"/>
                <w:szCs w:val="18"/>
                <w:lang w:val="en-US" w:eastAsia="zh-CN" w:bidi="ar-SA"/>
              </w:rPr>
              <w:t>行为</w:t>
            </w:r>
          </w:p>
        </w:tc>
        <w:tc>
          <w:tcPr>
            <w:tcW w:w="1079"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lang w:val="en-US" w:eastAsia="zh-CN"/>
              </w:rPr>
            </w:pPr>
            <w:r>
              <w:rPr>
                <w:rFonts w:hint="default" w:ascii="Times New Roman" w:hAnsi="Times New Roman" w:eastAsia="仿宋_GB2312" w:cs="Times New Roman"/>
                <w:color w:val="auto"/>
                <w:spacing w:val="-5"/>
                <w:sz w:val="18"/>
                <w:szCs w:val="18"/>
                <w:lang w:val="en-US" w:eastAsia="zh-CN"/>
              </w:rPr>
              <w:t>有下列情形之一的，依法不予行政处罚:</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一）违法行为人年龄不满14周岁的;（二）精神病人、智力残疾人在不能辨认或者不能控制自己行为时有违法行为的;（三）违法行为轻微并及时纠正，没有造成危害后果的;（四）当事人有证据足以证明没有主观过错的；（五）违法行为在二年内未被发现的，但法律另有规定的除外;（六）其他依法不予处罚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lang w:val="en-US"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highlight w:val="none"/>
                <w:lang w:val="en-US" w:eastAsia="zh-CN"/>
              </w:rPr>
              <w:t>处罚</w:t>
            </w:r>
          </w:p>
        </w:tc>
        <w:tc>
          <w:tcPr>
            <w:tcW w:w="58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《企业投资项目核准和备案管理条例》</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kern w:val="2"/>
                <w:sz w:val="18"/>
                <w:szCs w:val="18"/>
                <w:lang w:val="en-US" w:eastAsia="zh-CN" w:bidi="ar-SA"/>
              </w:rPr>
              <w:t>第二十条  企业投资建设产业政策禁止投资建设项目的，由县级以上人民政府投资主管部门责令停止建设或者责令停产并恢复原状，对企业处项目总投资额5‰以上10‰以下的罚款；对直接负责的主管人员和其他直接责任人员处5万元以上10万元以下的罚款，属于国家工作人员的，依法给予处分。法律、行政法规另有规定的，依照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jc w:val="center"/>
        </w:trPr>
        <w:tc>
          <w:tcPr>
            <w:tcW w:w="256" w:type="pct"/>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color w:val="auto"/>
                <w:spacing w:val="-5"/>
                <w:kern w:val="2"/>
                <w:sz w:val="18"/>
                <w:szCs w:val="18"/>
                <w:lang w:val="en-US" w:eastAsia="zh-CN" w:bidi="ar-SA"/>
              </w:rPr>
            </w:pPr>
          </w:p>
        </w:tc>
        <w:tc>
          <w:tcPr>
            <w:tcW w:w="421" w:type="pct"/>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p>
        </w:tc>
        <w:tc>
          <w:tcPr>
            <w:tcW w:w="1079" w:type="pct"/>
            <w:noWrap w:val="0"/>
            <w:vAlign w:val="center"/>
          </w:tcPr>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lang w:val="en-US" w:eastAsia="zh-CN"/>
              </w:rPr>
            </w:pPr>
            <w:r>
              <w:rPr>
                <w:rFonts w:hint="default" w:ascii="Times New Roman" w:hAnsi="Times New Roman" w:eastAsia="仿宋_GB2312" w:cs="Times New Roman"/>
                <w:color w:val="auto"/>
                <w:spacing w:val="-5"/>
                <w:sz w:val="18"/>
                <w:szCs w:val="18"/>
                <w:lang w:val="en-US" w:eastAsia="zh-CN"/>
              </w:rPr>
              <w:t>有下列情形之一的，依法免予行政处罚：</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220" w:lineRule="exact"/>
              <w:ind w:left="0" w:leftChars="0" w:firstLine="0" w:firstLineChars="0"/>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（一）初次违法且危害后果轻微并及时改正的;（二）其他依法免予处罚的。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val="en-US" w:eastAsia="zh-CN"/>
              </w:rPr>
              <w:t>免</w:t>
            </w:r>
            <w:r>
              <w:rPr>
                <w:rFonts w:hint="default" w:ascii="Times New Roman" w:hAnsi="Times New Roman" w:eastAsia="仿宋_GB2312" w:cs="Times New Roman"/>
                <w:color w:val="auto"/>
                <w:spacing w:val="-5"/>
                <w:sz w:val="18"/>
                <w:szCs w:val="18"/>
                <w:highlight w:val="none"/>
                <w:lang w:eastAsia="zh-CN"/>
              </w:rPr>
              <w:t>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highlight w:val="none"/>
                <w:lang w:val="en-US" w:eastAsia="zh-CN"/>
              </w:rPr>
              <w:t>处罚</w:t>
            </w:r>
          </w:p>
        </w:tc>
        <w:tc>
          <w:tcPr>
            <w:tcW w:w="58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7"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lang w:val="en-US" w:eastAsia="zh-CN"/>
              </w:rPr>
              <w:t>11</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eastAsia"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i w:val="0"/>
                <w:iCs w:val="0"/>
                <w:caps w:val="0"/>
                <w:color w:val="auto"/>
                <w:spacing w:val="-5"/>
                <w:sz w:val="18"/>
                <w:szCs w:val="18"/>
                <w:highlight w:val="none"/>
              </w:rPr>
              <w:t>机动车生产企业未按照国家有关规定承担生产者责任向回收拆解企业提供相关技术支持</w:t>
            </w:r>
            <w:r>
              <w:rPr>
                <w:rFonts w:hint="eastAsia" w:ascii="Times New Roman" w:hAnsi="Times New Roman" w:cs="Times New Roman"/>
                <w:i w:val="0"/>
                <w:iCs w:val="0"/>
                <w:caps w:val="0"/>
                <w:color w:val="auto"/>
                <w:spacing w:val="-5"/>
                <w:sz w:val="18"/>
                <w:szCs w:val="18"/>
                <w:highlight w:val="none"/>
                <w:lang w:eastAsia="zh-CN"/>
              </w:rPr>
              <w:t>的行为</w:t>
            </w:r>
          </w:p>
        </w:tc>
        <w:tc>
          <w:tcPr>
            <w:tcW w:w="1079"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i w:val="0"/>
                <w:iCs w:val="0"/>
                <w:caps w:val="0"/>
                <w:color w:val="auto"/>
                <w:spacing w:val="-5"/>
                <w:sz w:val="18"/>
                <w:szCs w:val="18"/>
                <w:highlight w:val="none"/>
                <w:lang w:val="en-US" w:eastAsia="zh-CN"/>
              </w:rPr>
            </w:pPr>
            <w:r>
              <w:rPr>
                <w:rFonts w:hint="default" w:ascii="Times New Roman" w:hAnsi="Times New Roman" w:eastAsia="仿宋_GB2312" w:cs="Times New Roman"/>
                <w:i w:val="0"/>
                <w:iCs w:val="0"/>
                <w:caps w:val="0"/>
                <w:color w:val="auto"/>
                <w:spacing w:val="-5"/>
                <w:sz w:val="18"/>
                <w:szCs w:val="18"/>
                <w:highlight w:val="none"/>
                <w:lang w:val="en-US" w:eastAsia="zh-CN"/>
              </w:rPr>
              <w:t>1、有下列情形之一的:（1）违法行为轻微并及时纠正，没有造成危害后果的;（2）当事人有证据足以证明没有主观过错的;（3）违法行为在二年内未被发现的（涉及公民生命健康安全、金融安全且有危害后果的，上述期限延长至五年）。</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i w:val="0"/>
                <w:iCs w:val="0"/>
                <w:caps w:val="0"/>
                <w:color w:val="auto"/>
                <w:spacing w:val="-5"/>
                <w:sz w:val="18"/>
                <w:szCs w:val="18"/>
                <w:highlight w:val="none"/>
                <w:lang w:eastAsia="zh-CN"/>
              </w:rPr>
            </w:pPr>
            <w:r>
              <w:rPr>
                <w:rFonts w:hint="default" w:ascii="Times New Roman" w:hAnsi="Times New Roman" w:eastAsia="仿宋_GB2312" w:cs="Times New Roman"/>
                <w:i w:val="0"/>
                <w:iCs w:val="0"/>
                <w:caps w:val="0"/>
                <w:color w:val="auto"/>
                <w:spacing w:val="-5"/>
                <w:sz w:val="18"/>
                <w:szCs w:val="18"/>
                <w:highlight w:val="none"/>
                <w:lang w:val="en-US" w:eastAsia="zh-CN"/>
              </w:rPr>
              <w:t>2、首次</w:t>
            </w:r>
            <w:r>
              <w:rPr>
                <w:rFonts w:hint="default" w:ascii="Times New Roman" w:hAnsi="Times New Roman" w:eastAsia="仿宋_GB2312" w:cs="Times New Roman"/>
                <w:i w:val="0"/>
                <w:iCs w:val="0"/>
                <w:caps w:val="0"/>
                <w:color w:val="auto"/>
                <w:spacing w:val="-5"/>
                <w:sz w:val="18"/>
                <w:szCs w:val="18"/>
                <w:highlight w:val="none"/>
              </w:rPr>
              <w:t>未按照国家有关规定承担生产者责任向回收拆解企业提供相关技术支持</w:t>
            </w:r>
            <w:r>
              <w:rPr>
                <w:rFonts w:hint="default" w:ascii="Times New Roman" w:hAnsi="Times New Roman" w:eastAsia="仿宋_GB2312" w:cs="Times New Roman"/>
                <w:i w:val="0"/>
                <w:iCs w:val="0"/>
                <w:caps w:val="0"/>
                <w:color w:val="auto"/>
                <w:spacing w:val="-5"/>
                <w:sz w:val="18"/>
                <w:szCs w:val="18"/>
                <w:highlight w:val="none"/>
                <w:lang w:eastAsia="zh-CN"/>
              </w:rPr>
              <w:t>，未造成危害结果，经指出后立即改正的。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i w:val="0"/>
                <w:iCs w:val="0"/>
                <w:caps w:val="0"/>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不予处罚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i w:val="0"/>
                <w:iCs w:val="0"/>
                <w:caps w:val="0"/>
                <w:color w:val="auto"/>
                <w:spacing w:val="-5"/>
                <w:sz w:val="18"/>
                <w:szCs w:val="18"/>
                <w:highlight w:val="none"/>
                <w:lang w:eastAsia="zh-CN"/>
              </w:rPr>
            </w:pPr>
            <w:r>
              <w:rPr>
                <w:rFonts w:hint="default" w:ascii="Times New Roman" w:hAnsi="Times New Roman" w:eastAsia="仿宋_GB2312" w:cs="Times New Roman"/>
                <w:color w:val="auto"/>
                <w:spacing w:val="-5"/>
                <w:sz w:val="18"/>
                <w:szCs w:val="18"/>
                <w:lang w:val="en-US" w:eastAsia="zh-CN"/>
              </w:rPr>
              <w:t xml:space="preserve">不实施行政处罚 </w:t>
            </w:r>
          </w:p>
        </w:tc>
        <w:tc>
          <w:tcPr>
            <w:tcW w:w="211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ind w:firstLine="0" w:firstLineChars="0"/>
              <w:jc w:val="both"/>
              <w:rPr>
                <w:rFonts w:hint="default" w:ascii="Times New Roman" w:hAnsi="Times New Roman" w:eastAsia="仿宋_GB2312" w:cs="Times New Roman"/>
                <w:i w:val="0"/>
                <w:iCs w:val="0"/>
                <w:caps w:val="0"/>
                <w:color w:val="auto"/>
                <w:spacing w:val="-5"/>
                <w:sz w:val="18"/>
                <w:szCs w:val="18"/>
                <w:highlight w:val="none"/>
                <w:lang w:eastAsia="zh-CN"/>
              </w:rPr>
            </w:pPr>
            <w:r>
              <w:rPr>
                <w:rFonts w:hint="default" w:ascii="Times New Roman" w:hAnsi="Times New Roman" w:eastAsia="仿宋_GB2312" w:cs="Times New Roman"/>
                <w:i w:val="0"/>
                <w:iCs w:val="0"/>
                <w:caps w:val="0"/>
                <w:color w:val="auto"/>
                <w:spacing w:val="-5"/>
                <w:sz w:val="18"/>
                <w:szCs w:val="18"/>
                <w:highlight w:val="none"/>
                <w:lang w:eastAsia="zh-CN"/>
              </w:rPr>
              <w:t>《</w:t>
            </w:r>
            <w:r>
              <w:rPr>
                <w:rFonts w:hint="default" w:ascii="Times New Roman" w:hAnsi="Times New Roman" w:eastAsia="仿宋_GB2312" w:cs="Times New Roman"/>
                <w:i w:val="0"/>
                <w:iCs w:val="0"/>
                <w:caps w:val="0"/>
                <w:color w:val="auto"/>
                <w:spacing w:val="-5"/>
                <w:sz w:val="18"/>
                <w:szCs w:val="18"/>
                <w:highlight w:val="none"/>
              </w:rPr>
              <w:t>报废机动车回收管理办法实施细则</w:t>
            </w:r>
            <w:r>
              <w:rPr>
                <w:rFonts w:hint="default" w:ascii="Times New Roman" w:hAnsi="Times New Roman" w:eastAsia="仿宋_GB2312" w:cs="Times New Roman"/>
                <w:i w:val="0"/>
                <w:iCs w:val="0"/>
                <w:caps w:val="0"/>
                <w:color w:val="auto"/>
                <w:spacing w:val="-5"/>
                <w:sz w:val="18"/>
                <w:szCs w:val="18"/>
                <w:highlight w:val="none"/>
                <w:lang w:eastAsia="zh-CN"/>
              </w:rPr>
              <w:t>》（</w:t>
            </w:r>
            <w:r>
              <w:rPr>
                <w:rFonts w:hint="default" w:ascii="Times New Roman" w:hAnsi="Times New Roman" w:eastAsia="仿宋_GB2312" w:cs="Times New Roman"/>
                <w:i w:val="0"/>
                <w:iCs w:val="0"/>
                <w:caps w:val="0"/>
                <w:color w:val="auto"/>
                <w:spacing w:val="-5"/>
                <w:sz w:val="18"/>
                <w:szCs w:val="18"/>
                <w:highlight w:val="none"/>
              </w:rPr>
              <w:t>商务部令2020年第2号</w:t>
            </w:r>
            <w:r>
              <w:rPr>
                <w:rFonts w:hint="default" w:ascii="Times New Roman" w:hAnsi="Times New Roman" w:eastAsia="仿宋_GB2312" w:cs="Times New Roman"/>
                <w:i w:val="0"/>
                <w:iCs w:val="0"/>
                <w:caps w:val="0"/>
                <w:color w:val="auto"/>
                <w:spacing w:val="-5"/>
                <w:sz w:val="18"/>
                <w:szCs w:val="18"/>
                <w:highlight w:val="none"/>
                <w:lang w:eastAsia="zh-CN"/>
              </w:rPr>
              <w:t>）</w:t>
            </w:r>
            <w:r>
              <w:rPr>
                <w:rFonts w:hint="default" w:ascii="Times New Roman" w:hAnsi="Times New Roman" w:eastAsia="仿宋_GB2312" w:cs="Times New Roman"/>
                <w:i w:val="0"/>
                <w:iCs w:val="0"/>
                <w:caps w:val="0"/>
                <w:color w:val="auto"/>
                <w:spacing w:val="-5"/>
                <w:sz w:val="18"/>
                <w:szCs w:val="18"/>
                <w:highlight w:val="none"/>
              </w:rPr>
              <w:t>第四十条</w:t>
            </w:r>
            <w:r>
              <w:rPr>
                <w:rFonts w:hint="default" w:ascii="Times New Roman" w:hAnsi="Times New Roman" w:eastAsia="仿宋_GB2312" w:cs="Times New Roman"/>
                <w:i w:val="0"/>
                <w:iCs w:val="0"/>
                <w:caps w:val="0"/>
                <w:color w:val="auto"/>
                <w:spacing w:val="-5"/>
                <w:sz w:val="18"/>
                <w:szCs w:val="18"/>
                <w:highlight w:val="none"/>
                <w:lang w:eastAsia="zh-CN"/>
              </w:rPr>
              <w:t>第二款</w:t>
            </w:r>
            <w:r>
              <w:rPr>
                <w:rFonts w:hint="default" w:ascii="Times New Roman" w:hAnsi="Times New Roman" w:eastAsia="仿宋_GB2312" w:cs="Times New Roman"/>
                <w:i w:val="0"/>
                <w:iCs w:val="0"/>
                <w:caps w:val="0"/>
                <w:color w:val="auto"/>
                <w:spacing w:val="-5"/>
                <w:sz w:val="18"/>
                <w:szCs w:val="18"/>
                <w:highlight w:val="none"/>
                <w:lang w:val="en-US" w:eastAsia="zh-CN"/>
              </w:rPr>
              <w:t xml:space="preserve"> </w:t>
            </w:r>
            <w:r>
              <w:rPr>
                <w:rFonts w:hint="default" w:ascii="Times New Roman" w:hAnsi="Times New Roman" w:eastAsia="仿宋_GB2312" w:cs="Times New Roman"/>
                <w:i w:val="0"/>
                <w:iCs w:val="0"/>
                <w:caps w:val="0"/>
                <w:color w:val="auto"/>
                <w:spacing w:val="-5"/>
                <w:sz w:val="18"/>
                <w:szCs w:val="18"/>
                <w:highlight w:val="none"/>
              </w:rPr>
              <w:t>违反本细则第七条第二款规定，机动车生产企业未按照国家有关规定承担生产者责任向回收拆解企业提供相关技术支持的，由县级以上地方工业和信息化主管部门责令改正，并处1万元以上3万元以下的罚款。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lang w:val="en-US" w:eastAsia="zh-CN"/>
              </w:rPr>
              <w:t>12</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eastAsia"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rPr>
              <w:t>使用淘汰用能设备或者生产工艺</w:t>
            </w:r>
            <w:r>
              <w:rPr>
                <w:rFonts w:hint="eastAsia" w:ascii="Times New Roman" w:hAnsi="Times New Roman" w:cs="Times New Roman"/>
                <w:color w:val="auto"/>
                <w:spacing w:val="-5"/>
                <w:sz w:val="18"/>
                <w:szCs w:val="18"/>
                <w:highlight w:val="none"/>
                <w:lang w:eastAsia="zh-CN"/>
              </w:rPr>
              <w:t>的行为</w:t>
            </w:r>
          </w:p>
        </w:tc>
        <w:tc>
          <w:tcPr>
            <w:tcW w:w="1079"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i w:val="0"/>
                <w:iCs w:val="0"/>
                <w:caps w:val="0"/>
                <w:color w:val="auto"/>
                <w:spacing w:val="-5"/>
                <w:sz w:val="18"/>
                <w:szCs w:val="18"/>
                <w:highlight w:val="none"/>
                <w:lang w:val="en-US" w:eastAsia="zh-CN"/>
              </w:rPr>
            </w:pPr>
            <w:r>
              <w:rPr>
                <w:rFonts w:hint="default" w:ascii="Times New Roman" w:hAnsi="Times New Roman" w:eastAsia="仿宋_GB2312" w:cs="Times New Roman"/>
                <w:i w:val="0"/>
                <w:iCs w:val="0"/>
                <w:caps w:val="0"/>
                <w:color w:val="auto"/>
                <w:spacing w:val="-5"/>
                <w:sz w:val="18"/>
                <w:szCs w:val="18"/>
                <w:highlight w:val="none"/>
                <w:lang w:val="en-US" w:eastAsia="zh-CN"/>
              </w:rPr>
              <w:t>1、</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val="en-US" w:eastAsia="zh-CN"/>
              </w:rPr>
              <w:t>2、</w:t>
            </w:r>
            <w:r>
              <w:rPr>
                <w:rFonts w:hint="default" w:ascii="Times New Roman" w:hAnsi="Times New Roman" w:eastAsia="仿宋_GB2312" w:cs="Times New Roman"/>
                <w:color w:val="auto"/>
                <w:spacing w:val="-5"/>
                <w:sz w:val="18"/>
                <w:szCs w:val="18"/>
                <w:highlight w:val="none"/>
              </w:rPr>
              <w:t>使用国家明令淘汰的用能设备，</w:t>
            </w:r>
            <w:r>
              <w:rPr>
                <w:rFonts w:hint="default" w:ascii="Times New Roman" w:hAnsi="Times New Roman" w:eastAsia="仿宋_GB2312" w:cs="Times New Roman"/>
                <w:color w:val="auto"/>
                <w:spacing w:val="-5"/>
                <w:sz w:val="18"/>
                <w:szCs w:val="18"/>
                <w:highlight w:val="none"/>
                <w:lang w:eastAsia="zh-CN"/>
              </w:rPr>
              <w:t>能</w:t>
            </w:r>
            <w:r>
              <w:rPr>
                <w:rFonts w:hint="default" w:ascii="Times New Roman" w:hAnsi="Times New Roman" w:eastAsia="仿宋_GB2312" w:cs="Times New Roman"/>
                <w:color w:val="auto"/>
                <w:spacing w:val="-5"/>
                <w:sz w:val="18"/>
                <w:szCs w:val="18"/>
                <w:highlight w:val="none"/>
              </w:rPr>
              <w:t>主动停止使用</w:t>
            </w:r>
            <w:r>
              <w:rPr>
                <w:rFonts w:hint="default" w:ascii="Times New Roman" w:hAnsi="Times New Roman" w:eastAsia="仿宋_GB2312" w:cs="Times New Roman"/>
                <w:color w:val="auto"/>
                <w:spacing w:val="-5"/>
                <w:sz w:val="18"/>
                <w:szCs w:val="18"/>
                <w:highlight w:val="none"/>
                <w:lang w:val="en" w:eastAsia="zh-CN"/>
              </w:rPr>
              <w:t>，并</w:t>
            </w:r>
            <w:r>
              <w:rPr>
                <w:rFonts w:hint="default" w:ascii="Times New Roman" w:hAnsi="Times New Roman" w:eastAsia="仿宋_GB2312" w:cs="Times New Roman"/>
                <w:color w:val="auto"/>
                <w:spacing w:val="-5"/>
                <w:sz w:val="18"/>
                <w:szCs w:val="18"/>
                <w:highlight w:val="none"/>
              </w:rPr>
              <w:t>制定用能设备淘汰更新计划，按期完成整改的。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eastAsia="zh-CN"/>
              </w:rPr>
              <w:t>不予处罚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责令</w:t>
            </w:r>
            <w:r>
              <w:rPr>
                <w:rFonts w:hint="default" w:ascii="Times New Roman" w:hAnsi="Times New Roman" w:eastAsia="仿宋_GB2312" w:cs="Times New Roman"/>
                <w:color w:val="auto"/>
                <w:spacing w:val="-5"/>
                <w:sz w:val="18"/>
                <w:szCs w:val="18"/>
                <w:highlight w:val="none"/>
                <w:lang w:eastAsia="zh-CN"/>
              </w:rPr>
              <w:t>停止使用，</w:t>
            </w: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《中华人民共和国节约能源法》第七十一条 使用国家明令淘汰的用能设备或者生产工艺的，由管理节能工作的部门责令停止使用，没收国家明令淘汰的用能设备；情节严重的，可以由管理节能工作的部门提出意见，报请本级人民政府按照国务院规定的权限责令停业整顿或者关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lang w:val="en-US" w:eastAsia="zh-CN"/>
              </w:rPr>
              <w:t>13</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eastAsia"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rPr>
              <w:t>超能耗限额标准用能</w:t>
            </w:r>
            <w:r>
              <w:rPr>
                <w:rFonts w:hint="eastAsia" w:ascii="Times New Roman" w:hAnsi="Times New Roman" w:cs="Times New Roman"/>
                <w:color w:val="auto"/>
                <w:spacing w:val="-5"/>
                <w:sz w:val="18"/>
                <w:szCs w:val="18"/>
                <w:highlight w:val="none"/>
                <w:lang w:eastAsia="zh-CN"/>
              </w:rPr>
              <w:t>的行为</w:t>
            </w:r>
          </w:p>
        </w:tc>
        <w:tc>
          <w:tcPr>
            <w:tcW w:w="1079"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i w:val="0"/>
                <w:iCs w:val="0"/>
                <w:caps w:val="0"/>
                <w:color w:val="auto"/>
                <w:spacing w:val="-5"/>
                <w:sz w:val="18"/>
                <w:szCs w:val="18"/>
                <w:highlight w:val="none"/>
                <w:lang w:val="en-US" w:eastAsia="zh-CN"/>
              </w:rPr>
            </w:pPr>
            <w:r>
              <w:rPr>
                <w:rFonts w:hint="default" w:ascii="Times New Roman" w:hAnsi="Times New Roman" w:eastAsia="仿宋_GB2312" w:cs="Times New Roman"/>
                <w:i w:val="0"/>
                <w:iCs w:val="0"/>
                <w:caps w:val="0"/>
                <w:color w:val="auto"/>
                <w:spacing w:val="-5"/>
                <w:sz w:val="18"/>
                <w:szCs w:val="18"/>
                <w:highlight w:val="none"/>
                <w:lang w:val="en-US" w:eastAsia="zh-CN"/>
              </w:rPr>
              <w:t>1、</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val="en-US" w:eastAsia="zh-CN"/>
              </w:rPr>
              <w:t>2、</w:t>
            </w:r>
            <w:r>
              <w:rPr>
                <w:rFonts w:hint="default" w:ascii="Times New Roman" w:hAnsi="Times New Roman" w:eastAsia="仿宋_GB2312" w:cs="Times New Roman"/>
                <w:color w:val="auto"/>
                <w:spacing w:val="-5"/>
                <w:sz w:val="18"/>
                <w:szCs w:val="18"/>
                <w:highlight w:val="none"/>
              </w:rPr>
              <w:t>生产单位超过单位产品能耗限额标准，制定整改措施，按期完成整改的。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eastAsia="zh-CN"/>
              </w:rPr>
              <w:t>不予处罚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责令限期整改</w:t>
            </w:r>
            <w:r>
              <w:rPr>
                <w:rFonts w:hint="default" w:ascii="Times New Roman" w:hAnsi="Times New Roman" w:eastAsia="仿宋_GB2312" w:cs="Times New Roman"/>
                <w:color w:val="auto"/>
                <w:spacing w:val="-5"/>
                <w:sz w:val="18"/>
                <w:szCs w:val="18"/>
                <w:highlight w:val="none"/>
                <w:lang w:eastAsia="zh-CN"/>
              </w:rPr>
              <w:t>，</w:t>
            </w: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《中华人民共和国节约能源法》第七十二条 生产单位超过单位产品能耗限额标准用能，情节严重，经限期治理逾期不治理或者没有达到治理要求的，可以由管理节能工作的部门提出意见，报请本级人民政府按照国务院规定的权限责令停业整顿或者关闭。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7"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lang w:val="en-US" w:eastAsia="zh-CN"/>
              </w:rPr>
              <w:t>14</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eastAsia"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rPr>
              <w:t>节能服务机构提供虚假信息</w:t>
            </w:r>
            <w:r>
              <w:rPr>
                <w:rFonts w:hint="eastAsia" w:ascii="Times New Roman" w:hAnsi="Times New Roman" w:cs="Times New Roman"/>
                <w:color w:val="auto"/>
                <w:spacing w:val="-5"/>
                <w:sz w:val="18"/>
                <w:szCs w:val="18"/>
                <w:highlight w:val="none"/>
                <w:lang w:eastAsia="zh-CN"/>
              </w:rPr>
              <w:t>的行为</w:t>
            </w:r>
          </w:p>
        </w:tc>
        <w:tc>
          <w:tcPr>
            <w:tcW w:w="1079"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i w:val="0"/>
                <w:iCs w:val="0"/>
                <w:caps w:val="0"/>
                <w:color w:val="auto"/>
                <w:spacing w:val="-5"/>
                <w:sz w:val="18"/>
                <w:szCs w:val="18"/>
                <w:highlight w:val="none"/>
                <w:lang w:val="en-US" w:eastAsia="zh-CN"/>
              </w:rPr>
            </w:pPr>
            <w:r>
              <w:rPr>
                <w:rFonts w:hint="default" w:ascii="Times New Roman" w:hAnsi="Times New Roman" w:eastAsia="仿宋_GB2312" w:cs="Times New Roman"/>
                <w:i w:val="0"/>
                <w:iCs w:val="0"/>
                <w:caps w:val="0"/>
                <w:color w:val="auto"/>
                <w:spacing w:val="-5"/>
                <w:sz w:val="18"/>
                <w:szCs w:val="18"/>
                <w:highlight w:val="none"/>
                <w:lang w:val="en-US" w:eastAsia="zh-CN"/>
              </w:rPr>
              <w:t>1、</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val="en-US" w:eastAsia="zh-CN"/>
              </w:rPr>
              <w:t>2、</w:t>
            </w:r>
            <w:r>
              <w:rPr>
                <w:rFonts w:hint="default" w:ascii="Times New Roman" w:hAnsi="Times New Roman" w:eastAsia="仿宋_GB2312" w:cs="Times New Roman"/>
                <w:color w:val="auto"/>
                <w:spacing w:val="-5"/>
                <w:sz w:val="18"/>
                <w:szCs w:val="18"/>
                <w:highlight w:val="none"/>
              </w:rPr>
              <w:t>机构从事节能咨询、设计、评估、检测、审计、认</w:t>
            </w:r>
            <w:r>
              <w:rPr>
                <w:rFonts w:hint="default" w:ascii="Times New Roman" w:hAnsi="Times New Roman" w:eastAsia="仿宋_GB2312" w:cs="Times New Roman"/>
                <w:color w:val="auto"/>
                <w:spacing w:val="-5"/>
                <w:sz w:val="18"/>
                <w:szCs w:val="18"/>
                <w:highlight w:val="none"/>
                <w:lang w:eastAsia="zh-CN"/>
              </w:rPr>
              <w:t>证等</w:t>
            </w:r>
            <w:r>
              <w:rPr>
                <w:rFonts w:hint="default" w:ascii="Times New Roman" w:hAnsi="Times New Roman" w:eastAsia="仿宋_GB2312" w:cs="Times New Roman"/>
                <w:color w:val="auto"/>
                <w:spacing w:val="-5"/>
                <w:sz w:val="18"/>
                <w:szCs w:val="18"/>
                <w:highlight w:val="none"/>
              </w:rPr>
              <w:t>服务时提供虚假信息，主动改正且未造成影响的。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责令限期整改（改正）</w:t>
            </w:r>
            <w:r>
              <w:rPr>
                <w:rFonts w:hint="default" w:ascii="Times New Roman" w:hAnsi="Times New Roman" w:eastAsia="仿宋_GB2312" w:cs="Times New Roman"/>
                <w:color w:val="auto"/>
                <w:spacing w:val="-5"/>
                <w:sz w:val="18"/>
                <w:szCs w:val="18"/>
                <w:highlight w:val="none"/>
                <w:lang w:eastAsia="zh-CN"/>
              </w:rPr>
              <w:t>，</w:t>
            </w: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《中华人民共和国节约能源法》第七十六条　从事节能咨询、设计、评估、检测、审计、认证等服务的机构提供虚假信息的，由管理节能工作的部门责令改正，没收违法所得，并处五万元以上十万元以下罚款。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6"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lang w:val="en-US" w:eastAsia="zh-CN"/>
              </w:rPr>
              <w:t>15</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eastAsia"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rPr>
              <w:t>无偿或包费使用能源</w:t>
            </w:r>
            <w:r>
              <w:rPr>
                <w:rFonts w:hint="eastAsia" w:ascii="Times New Roman" w:hAnsi="Times New Roman" w:cs="Times New Roman"/>
                <w:color w:val="auto"/>
                <w:spacing w:val="-5"/>
                <w:sz w:val="18"/>
                <w:szCs w:val="18"/>
                <w:highlight w:val="none"/>
                <w:lang w:eastAsia="zh-CN"/>
              </w:rPr>
              <w:t>的行为</w:t>
            </w:r>
          </w:p>
        </w:tc>
        <w:tc>
          <w:tcPr>
            <w:tcW w:w="1079"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i w:val="0"/>
                <w:iCs w:val="0"/>
                <w:caps w:val="0"/>
                <w:color w:val="auto"/>
                <w:spacing w:val="-5"/>
                <w:sz w:val="18"/>
                <w:szCs w:val="18"/>
                <w:highlight w:val="none"/>
                <w:lang w:val="en-US" w:eastAsia="zh-CN"/>
              </w:rPr>
            </w:pPr>
            <w:r>
              <w:rPr>
                <w:rFonts w:hint="default" w:ascii="Times New Roman" w:hAnsi="Times New Roman" w:eastAsia="仿宋_GB2312" w:cs="Times New Roman"/>
                <w:i w:val="0"/>
                <w:iCs w:val="0"/>
                <w:caps w:val="0"/>
                <w:color w:val="auto"/>
                <w:spacing w:val="-5"/>
                <w:sz w:val="18"/>
                <w:szCs w:val="18"/>
                <w:highlight w:val="none"/>
                <w:lang w:val="en-US" w:eastAsia="zh-CN"/>
              </w:rPr>
              <w:t>1、</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val="en-US" w:eastAsia="zh-CN"/>
              </w:rPr>
              <w:t>2、</w:t>
            </w:r>
            <w:r>
              <w:rPr>
                <w:rFonts w:hint="default" w:ascii="Times New Roman" w:hAnsi="Times New Roman" w:eastAsia="仿宋_GB2312" w:cs="Times New Roman"/>
                <w:color w:val="auto"/>
                <w:spacing w:val="-5"/>
                <w:sz w:val="18"/>
                <w:szCs w:val="18"/>
                <w:highlight w:val="none"/>
              </w:rPr>
              <w:t>无偿向本单位职工提供能源或者对能源消费实行包费制，制定整改措施，按期完成整改的。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eastAsia="zh-CN"/>
              </w:rPr>
              <w:t>不予处罚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责令限期整改</w:t>
            </w:r>
            <w:r>
              <w:rPr>
                <w:rFonts w:hint="eastAsia" w:eastAsia="仿宋_GB2312" w:cs="Times New Roman"/>
                <w:color w:val="auto"/>
                <w:spacing w:val="-5"/>
                <w:sz w:val="18"/>
                <w:szCs w:val="18"/>
                <w:highlight w:val="none"/>
                <w:lang w:eastAsia="zh-CN"/>
              </w:rPr>
              <w:t>（改正）</w:t>
            </w:r>
            <w:r>
              <w:rPr>
                <w:rFonts w:hint="default" w:ascii="Times New Roman" w:hAnsi="Times New Roman" w:eastAsia="仿宋_GB2312" w:cs="Times New Roman"/>
                <w:color w:val="auto"/>
                <w:spacing w:val="-5"/>
                <w:sz w:val="18"/>
                <w:szCs w:val="18"/>
                <w:highlight w:val="none"/>
                <w:lang w:eastAsia="zh-CN"/>
              </w:rPr>
              <w:t>，</w:t>
            </w: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《中华人民共和国节约能源法》第七十七条　违反本法规定，无偿向本单位职工提供能源或者对能源消费实行包费制的，由管理节能工作的部门责令限期改正；逾期不改正的，处五万元以上二十万元以下罚款。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lang w:val="en-US" w:eastAsia="zh-CN"/>
              </w:rPr>
              <w:t>16</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eastAsia"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rPr>
              <w:t>未按要求上报能源利用报告</w:t>
            </w:r>
            <w:r>
              <w:rPr>
                <w:rFonts w:hint="eastAsia" w:ascii="Times New Roman" w:hAnsi="Times New Roman" w:cs="Times New Roman"/>
                <w:color w:val="auto"/>
                <w:spacing w:val="-5"/>
                <w:sz w:val="18"/>
                <w:szCs w:val="18"/>
                <w:highlight w:val="none"/>
                <w:lang w:eastAsia="zh-CN"/>
              </w:rPr>
              <w:t>的行为</w:t>
            </w:r>
          </w:p>
        </w:tc>
        <w:tc>
          <w:tcPr>
            <w:tcW w:w="1079"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i w:val="0"/>
                <w:iCs w:val="0"/>
                <w:caps w:val="0"/>
                <w:color w:val="auto"/>
                <w:spacing w:val="-5"/>
                <w:sz w:val="18"/>
                <w:szCs w:val="18"/>
                <w:highlight w:val="none"/>
                <w:lang w:val="en-US" w:eastAsia="zh-CN"/>
              </w:rPr>
              <w:t>1、</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val="en-US" w:eastAsia="zh-CN"/>
              </w:rPr>
              <w:t>2、</w:t>
            </w:r>
            <w:r>
              <w:rPr>
                <w:rFonts w:hint="default" w:ascii="Times New Roman" w:hAnsi="Times New Roman" w:eastAsia="仿宋_GB2312" w:cs="Times New Roman"/>
                <w:color w:val="auto"/>
                <w:spacing w:val="-5"/>
                <w:sz w:val="18"/>
                <w:szCs w:val="18"/>
                <w:highlight w:val="none"/>
              </w:rPr>
              <w:t>重点用能单位首次未按规定报送能源利用状况报告或者报告内容不实，按期完成整改的。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eastAsia="zh-CN"/>
              </w:rPr>
              <w:t>不予处罚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责令限期整改</w:t>
            </w:r>
            <w:r>
              <w:rPr>
                <w:rFonts w:hint="eastAsia" w:eastAsia="仿宋_GB2312" w:cs="Times New Roman"/>
                <w:color w:val="auto"/>
                <w:spacing w:val="-5"/>
                <w:sz w:val="18"/>
                <w:szCs w:val="18"/>
                <w:highlight w:val="none"/>
                <w:lang w:eastAsia="zh-CN"/>
              </w:rPr>
              <w:t>（改正）</w:t>
            </w:r>
            <w:r>
              <w:rPr>
                <w:rFonts w:hint="default" w:ascii="Times New Roman" w:hAnsi="Times New Roman" w:eastAsia="仿宋_GB2312" w:cs="Times New Roman"/>
                <w:color w:val="auto"/>
                <w:spacing w:val="-5"/>
                <w:sz w:val="18"/>
                <w:szCs w:val="18"/>
                <w:highlight w:val="none"/>
                <w:lang w:eastAsia="zh-CN"/>
              </w:rPr>
              <w:t>，</w:t>
            </w: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《中华人民共和国节约能源法》第八十二条　重点用能单位未按照本法规定报送能源利用状况报告或者报告内容不实的，由管理节能工作的部门责令限期改正；逾期不改正的，处一万元以上五万元以下罚款。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3"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lang w:val="en-US" w:eastAsia="zh-CN"/>
              </w:rPr>
              <w:t>17</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eastAsia" w:ascii="Calibri" w:hAnsi="Calibri" w:eastAsia="仿宋_GB2312" w:cs="Times New Roman"/>
                <w:color w:val="auto"/>
                <w:kern w:val="2"/>
                <w:sz w:val="32"/>
                <w:szCs w:val="24"/>
                <w:lang w:val="en-US" w:eastAsia="zh-CN" w:bidi="ar-SA"/>
              </w:rPr>
            </w:pPr>
            <w:r>
              <w:rPr>
                <w:rFonts w:hint="default" w:ascii="Times New Roman" w:hAnsi="Times New Roman" w:eastAsia="仿宋_GB2312" w:cs="Times New Roman"/>
                <w:color w:val="auto"/>
                <w:spacing w:val="-5"/>
                <w:sz w:val="18"/>
                <w:szCs w:val="18"/>
                <w:highlight w:val="none"/>
              </w:rPr>
              <w:t>能源管理制度不健全、节能措施不落实、能源效率低</w:t>
            </w:r>
          </w:p>
        </w:tc>
        <w:tc>
          <w:tcPr>
            <w:tcW w:w="1079"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i w:val="0"/>
                <w:iCs w:val="0"/>
                <w:caps w:val="0"/>
                <w:color w:val="auto"/>
                <w:spacing w:val="-5"/>
                <w:sz w:val="18"/>
                <w:szCs w:val="18"/>
                <w:highlight w:val="none"/>
                <w:lang w:val="en-US" w:eastAsia="zh-CN"/>
              </w:rPr>
            </w:pPr>
            <w:r>
              <w:rPr>
                <w:rFonts w:hint="default" w:ascii="Times New Roman" w:hAnsi="Times New Roman" w:eastAsia="仿宋_GB2312" w:cs="Times New Roman"/>
                <w:i w:val="0"/>
                <w:iCs w:val="0"/>
                <w:caps w:val="0"/>
                <w:color w:val="auto"/>
                <w:spacing w:val="-5"/>
                <w:sz w:val="18"/>
                <w:szCs w:val="18"/>
                <w:highlight w:val="none"/>
                <w:lang w:val="en-US" w:eastAsia="zh-CN"/>
              </w:rPr>
              <w:t>1、</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p>
            <w:pPr>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20" w:lineRule="exact"/>
              <w:jc w:val="both"/>
              <w:textAlignment w:val="center"/>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val="en-US" w:eastAsia="zh-CN"/>
              </w:rPr>
              <w:t>2、</w:t>
            </w:r>
            <w:r>
              <w:rPr>
                <w:rFonts w:hint="default" w:ascii="Times New Roman" w:hAnsi="Times New Roman" w:eastAsia="仿宋_GB2312" w:cs="Times New Roman"/>
                <w:color w:val="auto"/>
                <w:spacing w:val="-5"/>
                <w:sz w:val="18"/>
                <w:szCs w:val="18"/>
                <w:highlight w:val="none"/>
              </w:rPr>
              <w:t>重点用能单位首次节能管理制度不健全、节能措施不落实、能源利用效率低下，按期完成整改的。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eastAsia="zh-CN"/>
              </w:rPr>
              <w:t>不予处罚</w:t>
            </w:r>
          </w:p>
        </w:tc>
        <w:tc>
          <w:tcPr>
            <w:tcW w:w="586" w:type="pct"/>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20" w:lineRule="exact"/>
              <w:jc w:val="both"/>
              <w:textAlignment w:val="center"/>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责令限期整改</w:t>
            </w:r>
            <w:r>
              <w:rPr>
                <w:rFonts w:hint="default" w:ascii="Times New Roman" w:hAnsi="Times New Roman" w:eastAsia="仿宋_GB2312" w:cs="Times New Roman"/>
                <w:color w:val="auto"/>
                <w:spacing w:val="-5"/>
                <w:sz w:val="18"/>
                <w:szCs w:val="18"/>
                <w:highlight w:val="none"/>
                <w:lang w:eastAsia="zh-CN"/>
              </w:rPr>
              <w:t>，</w:t>
            </w: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《中华人民共和国节约能源法》第八十三条　重点用能单位无正当理由拒不落实本法第五十四条规定的整改要求或者整改没有达到要求的，由管理节能工作的部门处十万元以上三十万元以下罚款。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0"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lang w:val="en-US" w:eastAsia="zh-CN"/>
              </w:rPr>
              <w:t>18</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eastAsia"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rPr>
              <w:t>能源管理岗位和能源管理负责人缺失</w:t>
            </w:r>
          </w:p>
        </w:tc>
        <w:tc>
          <w:tcPr>
            <w:tcW w:w="1079"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i w:val="0"/>
                <w:iCs w:val="0"/>
                <w:caps w:val="0"/>
                <w:color w:val="auto"/>
                <w:spacing w:val="-5"/>
                <w:sz w:val="18"/>
                <w:szCs w:val="18"/>
                <w:highlight w:val="none"/>
                <w:lang w:val="en-US" w:eastAsia="zh-CN"/>
              </w:rPr>
            </w:pPr>
            <w:r>
              <w:rPr>
                <w:rFonts w:hint="default" w:ascii="Times New Roman" w:hAnsi="Times New Roman" w:eastAsia="仿宋_GB2312" w:cs="Times New Roman"/>
                <w:i w:val="0"/>
                <w:iCs w:val="0"/>
                <w:caps w:val="0"/>
                <w:color w:val="auto"/>
                <w:spacing w:val="-5"/>
                <w:sz w:val="18"/>
                <w:szCs w:val="18"/>
                <w:highlight w:val="none"/>
                <w:lang w:val="en-US" w:eastAsia="zh-CN"/>
              </w:rPr>
              <w:t>1、</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p>
            <w:pPr>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val="en-US" w:eastAsia="zh-CN"/>
              </w:rPr>
              <w:t>2、</w:t>
            </w:r>
            <w:r>
              <w:rPr>
                <w:rFonts w:hint="default" w:ascii="Times New Roman" w:hAnsi="Times New Roman" w:eastAsia="仿宋_GB2312" w:cs="Times New Roman"/>
                <w:color w:val="auto"/>
                <w:spacing w:val="-5"/>
                <w:sz w:val="18"/>
                <w:szCs w:val="18"/>
                <w:highlight w:val="none"/>
              </w:rPr>
              <w:t>重点用能单位首次未按规定设立能源管理岗位、聘任能源管理负责人并报主管部门备案，按期完成整改的。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eastAsia="zh-CN"/>
              </w:rPr>
              <w:t>不予处罚</w:t>
            </w:r>
          </w:p>
        </w:tc>
        <w:tc>
          <w:tcPr>
            <w:tcW w:w="586" w:type="pct"/>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20" w:lineRule="exact"/>
              <w:jc w:val="both"/>
              <w:textAlignment w:val="center"/>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责令限期整改</w:t>
            </w:r>
            <w:r>
              <w:rPr>
                <w:rFonts w:hint="eastAsia" w:eastAsia="仿宋_GB2312" w:cs="Times New Roman"/>
                <w:color w:val="auto"/>
                <w:spacing w:val="-5"/>
                <w:sz w:val="18"/>
                <w:szCs w:val="18"/>
                <w:highlight w:val="none"/>
                <w:lang w:eastAsia="zh-CN"/>
              </w:rPr>
              <w:t>（改正）</w:t>
            </w:r>
            <w:r>
              <w:rPr>
                <w:rFonts w:hint="default" w:ascii="Times New Roman" w:hAnsi="Times New Roman" w:eastAsia="仿宋_GB2312" w:cs="Times New Roman"/>
                <w:color w:val="auto"/>
                <w:spacing w:val="-5"/>
                <w:sz w:val="18"/>
                <w:szCs w:val="18"/>
                <w:highlight w:val="none"/>
                <w:lang w:eastAsia="zh-CN"/>
              </w:rPr>
              <w:t>，</w:t>
            </w: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20" w:lineRule="exact"/>
              <w:jc w:val="both"/>
              <w:textAlignment w:val="center"/>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《中华人民共和国节约能源法》第八十四条　重点用能单位未按照本法规定设立能源管理岗位，聘任能源管理负责人，并报管理节能工作的部门和有关部门备案的，由管理节能工作的部门责令改正；拒不改正的，处一万元以上三万元以下罚款。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lang w:val="en-US" w:eastAsia="zh-CN"/>
              </w:rPr>
              <w:t>19</w:t>
            </w:r>
          </w:p>
        </w:tc>
        <w:tc>
          <w:tcPr>
            <w:tcW w:w="421"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eastAsia"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rPr>
              <w:t>未按规定进行节能审查，或节能审查未获通过，擅自开工建设或擅自投入生产、使用的固定资产投资项目</w:t>
            </w:r>
            <w:r>
              <w:rPr>
                <w:rFonts w:hint="eastAsia" w:ascii="Times New Roman" w:hAnsi="Times New Roman" w:cs="Times New Roman"/>
                <w:color w:val="auto"/>
                <w:spacing w:val="-5"/>
                <w:sz w:val="18"/>
                <w:szCs w:val="18"/>
                <w:highlight w:val="none"/>
                <w:lang w:eastAsia="zh-CN"/>
              </w:rPr>
              <w:t>的行为</w:t>
            </w:r>
          </w:p>
        </w:tc>
        <w:tc>
          <w:tcPr>
            <w:tcW w:w="1079" w:type="pct"/>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20" w:lineRule="exact"/>
              <w:jc w:val="both"/>
              <w:textAlignment w:val="center"/>
              <w:rPr>
                <w:rFonts w:hint="default" w:ascii="Times New Roman" w:hAnsi="Times New Roman" w:eastAsia="仿宋_GB2312" w:cs="Times New Roman"/>
                <w:color w:val="auto"/>
                <w:spacing w:val="-5"/>
                <w:kern w:val="2"/>
                <w:sz w:val="18"/>
                <w:szCs w:val="18"/>
                <w:highlight w:val="none"/>
              </w:rPr>
            </w:pP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kern w:val="2"/>
                <w:sz w:val="18"/>
                <w:szCs w:val="18"/>
                <w:highlight w:val="none"/>
              </w:rPr>
            </w:pPr>
            <w:r>
              <w:rPr>
                <w:rFonts w:hint="default" w:ascii="Times New Roman" w:hAnsi="Times New Roman" w:eastAsia="仿宋_GB2312" w:cs="Times New Roman"/>
                <w:color w:val="auto"/>
                <w:spacing w:val="-5"/>
                <w:sz w:val="18"/>
                <w:szCs w:val="18"/>
                <w:highlight w:val="none"/>
                <w:lang w:eastAsia="zh-CN"/>
              </w:rPr>
              <w:t>不予处罚</w:t>
            </w:r>
          </w:p>
        </w:tc>
        <w:tc>
          <w:tcPr>
            <w:tcW w:w="586" w:type="pct"/>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20" w:lineRule="exact"/>
              <w:jc w:val="both"/>
              <w:textAlignment w:val="center"/>
              <w:rPr>
                <w:rFonts w:hint="default" w:ascii="Times New Roman" w:hAnsi="Times New Roman" w:eastAsia="仿宋_GB2312" w:cs="Times New Roman"/>
                <w:color w:val="auto"/>
                <w:spacing w:val="-5"/>
                <w:kern w:val="2"/>
                <w:sz w:val="18"/>
                <w:szCs w:val="18"/>
                <w:highlight w:val="none"/>
              </w:rPr>
            </w:pPr>
            <w:r>
              <w:rPr>
                <w:rFonts w:hint="default" w:ascii="Times New Roman" w:hAnsi="Times New Roman" w:eastAsia="仿宋_GB2312" w:cs="Times New Roman"/>
                <w:color w:val="auto"/>
                <w:spacing w:val="-5"/>
                <w:sz w:val="18"/>
                <w:szCs w:val="18"/>
                <w:lang w:val="en-US" w:eastAsia="zh-CN"/>
              </w:rPr>
              <w:t xml:space="preserve">不实施行政处罚 </w:t>
            </w:r>
          </w:p>
        </w:tc>
        <w:tc>
          <w:tcPr>
            <w:tcW w:w="2111"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kern w:val="2"/>
                <w:sz w:val="18"/>
                <w:szCs w:val="18"/>
                <w:highlight w:val="none"/>
              </w:rPr>
            </w:pPr>
            <w:r>
              <w:rPr>
                <w:rFonts w:hint="default" w:ascii="Times New Roman" w:hAnsi="Times New Roman" w:eastAsia="仿宋_GB2312" w:cs="Times New Roman"/>
                <w:color w:val="auto"/>
                <w:spacing w:val="-5"/>
                <w:kern w:val="2"/>
                <w:sz w:val="18"/>
                <w:szCs w:val="18"/>
                <w:highlight w:val="none"/>
              </w:rPr>
              <w:t>《固定资产投资项目节能审查办法》第二十</w:t>
            </w:r>
            <w:r>
              <w:rPr>
                <w:rFonts w:hint="default" w:ascii="Times New Roman" w:hAnsi="Times New Roman" w:eastAsia="仿宋_GB2312" w:cs="Times New Roman"/>
                <w:color w:val="auto"/>
                <w:spacing w:val="-5"/>
                <w:kern w:val="2"/>
                <w:sz w:val="18"/>
                <w:szCs w:val="18"/>
                <w:highlight w:val="none"/>
                <w:lang w:eastAsia="zh-CN"/>
              </w:rPr>
              <w:t>三</w:t>
            </w:r>
            <w:r>
              <w:rPr>
                <w:rFonts w:hint="default" w:ascii="Times New Roman" w:hAnsi="Times New Roman" w:eastAsia="仿宋_GB2312" w:cs="Times New Roman"/>
                <w:color w:val="auto"/>
                <w:spacing w:val="-5"/>
                <w:kern w:val="2"/>
                <w:sz w:val="18"/>
                <w:szCs w:val="18"/>
                <w:highlight w:val="none"/>
              </w:rPr>
              <w:t xml:space="preserve">条 </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对未按本办法规定进行节能审查，或节能审查未获通过，擅自开工建设或擅自投入生产、使用的固定资产投资项目，由节能审查机关责令停止建设或停止生产、使用，限期整改，并对建设单位进行通报批评，视情节处10万元以下罚款。经节能审查机关认定完成整改的项目，节能审查机关可依据实际情况出具整改完成证明。不能整改或逾期不整改的生产性项目，由节能审查机关报请本级人民政府按照国务院规定的权限责令关闭，并依法追究有关责任人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lang w:val="en-US" w:eastAsia="zh-CN"/>
              </w:rPr>
              <w:t>20</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eastAsia"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rPr>
              <w:t>以拆分项目、提供虚假材料等不正当手段通过节能审查的固定资产投资项目；以不正当手段逃避节能审查的未开工固定资产投资项目</w:t>
            </w:r>
            <w:r>
              <w:rPr>
                <w:rFonts w:hint="eastAsia" w:ascii="Times New Roman" w:hAnsi="Times New Roman" w:cs="Times New Roman"/>
                <w:color w:val="auto"/>
                <w:spacing w:val="-5"/>
                <w:sz w:val="18"/>
                <w:szCs w:val="18"/>
                <w:highlight w:val="none"/>
                <w:lang w:eastAsia="zh-CN"/>
              </w:rPr>
              <w:t>的行为</w:t>
            </w:r>
          </w:p>
        </w:tc>
        <w:tc>
          <w:tcPr>
            <w:tcW w:w="1079" w:type="pct"/>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eastAsia="zh-CN"/>
              </w:rPr>
              <w:t>不予处罚</w:t>
            </w:r>
          </w:p>
        </w:tc>
        <w:tc>
          <w:tcPr>
            <w:tcW w:w="586" w:type="pct"/>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20" w:lineRule="exact"/>
              <w:jc w:val="both"/>
              <w:textAlignment w:val="center"/>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《固定资产投资项目节能审查办法》第二十</w:t>
            </w:r>
            <w:r>
              <w:rPr>
                <w:rFonts w:hint="default" w:ascii="Times New Roman" w:hAnsi="Times New Roman" w:eastAsia="仿宋_GB2312" w:cs="Times New Roman"/>
                <w:color w:val="auto"/>
                <w:spacing w:val="-5"/>
                <w:sz w:val="18"/>
                <w:szCs w:val="18"/>
                <w:highlight w:val="none"/>
                <w:lang w:eastAsia="zh-CN"/>
              </w:rPr>
              <w:t>四</w:t>
            </w:r>
            <w:r>
              <w:rPr>
                <w:rFonts w:hint="default" w:ascii="Times New Roman" w:hAnsi="Times New Roman" w:eastAsia="仿宋_GB2312" w:cs="Times New Roman"/>
                <w:color w:val="auto"/>
                <w:spacing w:val="-5"/>
                <w:sz w:val="18"/>
                <w:szCs w:val="18"/>
                <w:highlight w:val="none"/>
              </w:rPr>
              <w:t xml:space="preserve">条 </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以拆分项目、提供虚假材料等不正当手段通过节能审查的固定资产投资项目，由节能审查机关撤销项目的节能审查意见；以不正当手段逃避节能审查的固定资产投资项目，由节能审查机关按程序进行节能审查。项目已开工建设或投入生产、使用的，按本办法第二十三条有关规定进行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lang w:val="en-US" w:eastAsia="zh-CN"/>
              </w:rPr>
              <w:t>21</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eastAsia"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rPr>
              <w:t>未落实节能审查意见要求的固定资产投资项目</w:t>
            </w:r>
            <w:r>
              <w:rPr>
                <w:rFonts w:hint="eastAsia" w:ascii="Times New Roman" w:hAnsi="Times New Roman" w:cs="Times New Roman"/>
                <w:color w:val="auto"/>
                <w:spacing w:val="-5"/>
                <w:sz w:val="18"/>
                <w:szCs w:val="18"/>
                <w:highlight w:val="none"/>
                <w:lang w:eastAsia="zh-CN"/>
              </w:rPr>
              <w:t>的行为</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p>
        </w:tc>
        <w:tc>
          <w:tcPr>
            <w:tcW w:w="1079"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i w:val="0"/>
                <w:iCs w:val="0"/>
                <w:caps w:val="0"/>
                <w:color w:val="auto"/>
                <w:spacing w:val="-5"/>
                <w:sz w:val="18"/>
                <w:szCs w:val="18"/>
                <w:highlight w:val="none"/>
                <w:lang w:val="en-US" w:eastAsia="zh-CN"/>
              </w:rPr>
            </w:pPr>
            <w:r>
              <w:rPr>
                <w:rFonts w:hint="default" w:ascii="Times New Roman" w:hAnsi="Times New Roman" w:eastAsia="仿宋_GB2312" w:cs="Times New Roman"/>
                <w:i w:val="0"/>
                <w:iCs w:val="0"/>
                <w:caps w:val="0"/>
                <w:color w:val="auto"/>
                <w:spacing w:val="-5"/>
                <w:sz w:val="18"/>
                <w:szCs w:val="18"/>
                <w:highlight w:val="none"/>
                <w:lang w:val="en-US" w:eastAsia="zh-CN"/>
              </w:rPr>
              <w:t>1、</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val="en-US" w:eastAsia="zh-CN"/>
              </w:rPr>
              <w:t>2、</w:t>
            </w:r>
            <w:r>
              <w:rPr>
                <w:rFonts w:hint="default" w:ascii="Times New Roman" w:hAnsi="Times New Roman" w:eastAsia="仿宋_GB2312" w:cs="Times New Roman"/>
                <w:color w:val="auto"/>
                <w:spacing w:val="-5"/>
                <w:sz w:val="18"/>
                <w:szCs w:val="18"/>
                <w:highlight w:val="none"/>
              </w:rPr>
              <w:t>未落实节能审查意见要求的技术改造投资项目，按期完成整改的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eastAsia="zh-CN"/>
              </w:rPr>
              <w:t>不予处罚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责令限期整改</w:t>
            </w:r>
            <w:r>
              <w:rPr>
                <w:rFonts w:hint="default" w:ascii="Times New Roman" w:hAnsi="Times New Roman" w:eastAsia="仿宋_GB2312" w:cs="Times New Roman"/>
                <w:color w:val="auto"/>
                <w:spacing w:val="-5"/>
                <w:sz w:val="18"/>
                <w:szCs w:val="18"/>
                <w:highlight w:val="none"/>
                <w:lang w:eastAsia="zh-CN"/>
              </w:rPr>
              <w:t>，</w:t>
            </w: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rPr>
              <w:t>《固定资产投资项目节能审查办法》第二十</w:t>
            </w:r>
            <w:r>
              <w:rPr>
                <w:rFonts w:hint="default" w:ascii="Times New Roman" w:hAnsi="Times New Roman" w:eastAsia="仿宋_GB2312" w:cs="Times New Roman"/>
                <w:color w:val="auto"/>
                <w:spacing w:val="-5"/>
                <w:sz w:val="18"/>
                <w:szCs w:val="18"/>
                <w:highlight w:val="none"/>
                <w:lang w:val="en-US" w:eastAsia="zh-CN"/>
              </w:rPr>
              <w:t>五</w:t>
            </w:r>
            <w:r>
              <w:rPr>
                <w:rFonts w:hint="default" w:ascii="Times New Roman" w:hAnsi="Times New Roman" w:eastAsia="仿宋_GB2312" w:cs="Times New Roman"/>
                <w:color w:val="auto"/>
                <w:spacing w:val="-5"/>
                <w:sz w:val="18"/>
                <w:szCs w:val="18"/>
                <w:highlight w:val="none"/>
              </w:rPr>
              <w:t xml:space="preserve">条 </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未落实节能审查意见要求的固定资产投资项目，由节能审查机关责令建设单位限期整改。不能整改或逾期不整改的，由节能审查机关按照法律法规的有关规定进行处罚。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lang w:val="en-US" w:eastAsia="zh-CN"/>
              </w:rPr>
              <w:t>22</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eastAsia"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rPr>
              <w:t>未经节能验收或节能验收不合格，擅自投入生产、使用，以及以提供虚假材料等不正当手段通过节能验收的技术改造投资项目</w:t>
            </w:r>
            <w:r>
              <w:rPr>
                <w:rFonts w:hint="eastAsia" w:ascii="Times New Roman" w:hAnsi="Times New Roman" w:cs="Times New Roman"/>
                <w:color w:val="auto"/>
                <w:spacing w:val="-5"/>
                <w:sz w:val="18"/>
                <w:szCs w:val="18"/>
                <w:highlight w:val="none"/>
                <w:lang w:eastAsia="zh-CN"/>
              </w:rPr>
              <w:t>的行为</w:t>
            </w:r>
          </w:p>
        </w:tc>
        <w:tc>
          <w:tcPr>
            <w:tcW w:w="1079" w:type="pct"/>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highlight w:val="none"/>
                <w:lang w:eastAsia="zh-CN"/>
              </w:rPr>
              <w:t>不予处罚</w:t>
            </w:r>
          </w:p>
        </w:tc>
        <w:tc>
          <w:tcPr>
            <w:tcW w:w="586" w:type="pct"/>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20" w:lineRule="exact"/>
              <w:jc w:val="both"/>
              <w:textAlignment w:val="center"/>
              <w:rPr>
                <w:rFonts w:hint="default" w:ascii="Times New Roman" w:hAnsi="Times New Roman" w:eastAsia="仿宋_GB2312" w:cs="Times New Roman"/>
                <w:color w:val="auto"/>
                <w:spacing w:val="-5"/>
                <w:sz w:val="18"/>
                <w:szCs w:val="18"/>
                <w:highlight w:val="none"/>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rPr>
              <w:t>《固定资产投资项目节能审查办法》第二十</w:t>
            </w:r>
            <w:r>
              <w:rPr>
                <w:rFonts w:hint="default" w:ascii="Times New Roman" w:hAnsi="Times New Roman" w:eastAsia="仿宋_GB2312" w:cs="Times New Roman"/>
                <w:color w:val="auto"/>
                <w:spacing w:val="-5"/>
                <w:sz w:val="18"/>
                <w:szCs w:val="18"/>
                <w:highlight w:val="none"/>
                <w:lang w:eastAsia="zh-CN"/>
              </w:rPr>
              <w:t>六条</w:t>
            </w:r>
            <w:r>
              <w:rPr>
                <w:rFonts w:hint="default" w:ascii="Times New Roman" w:hAnsi="Times New Roman" w:eastAsia="仿宋_GB2312" w:cs="Times New Roman"/>
                <w:color w:val="auto"/>
                <w:spacing w:val="-5"/>
                <w:sz w:val="18"/>
                <w:szCs w:val="18"/>
                <w:highlight w:val="none"/>
                <w:lang w:val="en-US" w:eastAsia="zh-CN"/>
              </w:rPr>
              <w:t xml:space="preserve"> </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未按本办法规定进行节能验收或验收不合格，擅自投入生产、使用的固定资产投资项目，以及以提供虚假材料等不正当手段通过节能验收的固定资产投资项目，由节能审查机关责令建设单位限期整改，并处3万元以上5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5"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b w:val="0"/>
                <w:bCs w:val="0"/>
                <w:i w:val="0"/>
                <w:iCs w:val="0"/>
                <w:caps w:val="0"/>
                <w:color w:val="auto"/>
                <w:spacing w:val="-5"/>
                <w:sz w:val="18"/>
                <w:szCs w:val="18"/>
                <w:highlight w:val="none"/>
                <w:shd w:val="clear" w:color="auto" w:fill="auto"/>
                <w:lang w:val="en-US" w:eastAsia="zh-CN"/>
              </w:rPr>
            </w:pPr>
            <w:r>
              <w:rPr>
                <w:rFonts w:hint="default" w:ascii="Times New Roman" w:hAnsi="Times New Roman" w:eastAsia="仿宋_GB2312" w:cs="Times New Roman"/>
                <w:b w:val="0"/>
                <w:bCs w:val="0"/>
                <w:i w:val="0"/>
                <w:iCs w:val="0"/>
                <w:caps w:val="0"/>
                <w:color w:val="auto"/>
                <w:spacing w:val="-5"/>
                <w:sz w:val="18"/>
                <w:szCs w:val="18"/>
                <w:highlight w:val="none"/>
                <w:shd w:val="clear" w:color="auto" w:fill="auto"/>
                <w:lang w:val="en-US" w:eastAsia="zh-CN"/>
              </w:rPr>
              <w:t>23</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b w:val="0"/>
                <w:bCs w:val="0"/>
                <w:i w:val="0"/>
                <w:iCs w:val="0"/>
                <w:caps w:val="0"/>
                <w:color w:val="auto"/>
                <w:spacing w:val="-5"/>
                <w:sz w:val="18"/>
                <w:szCs w:val="18"/>
                <w:highlight w:val="none"/>
                <w:shd w:val="clear" w:color="auto" w:fill="auto"/>
                <w:lang w:val="en-US" w:eastAsia="zh-CN"/>
              </w:rPr>
            </w:pPr>
            <w:r>
              <w:rPr>
                <w:rFonts w:hint="default" w:ascii="Times New Roman" w:hAnsi="Times New Roman" w:eastAsia="仿宋_GB2312" w:cs="Times New Roman"/>
                <w:b w:val="0"/>
                <w:bCs w:val="0"/>
                <w:i w:val="0"/>
                <w:iCs w:val="0"/>
                <w:caps w:val="0"/>
                <w:color w:val="auto"/>
                <w:spacing w:val="-5"/>
                <w:sz w:val="18"/>
                <w:szCs w:val="18"/>
                <w:highlight w:val="none"/>
                <w:shd w:val="clear" w:color="auto" w:fill="auto"/>
                <w:lang w:eastAsia="zh-CN"/>
              </w:rPr>
              <w:t>违反监控化学品管理规定</w:t>
            </w:r>
            <w:r>
              <w:rPr>
                <w:rFonts w:hint="eastAsia" w:ascii="Times New Roman" w:hAnsi="Times New Roman" w:cs="Times New Roman"/>
                <w:b w:val="0"/>
                <w:bCs w:val="0"/>
                <w:i w:val="0"/>
                <w:iCs w:val="0"/>
                <w:caps w:val="0"/>
                <w:color w:val="auto"/>
                <w:spacing w:val="-5"/>
                <w:sz w:val="18"/>
                <w:szCs w:val="18"/>
                <w:highlight w:val="none"/>
                <w:shd w:val="clear" w:color="auto" w:fill="auto"/>
                <w:lang w:eastAsia="zh-CN"/>
              </w:rPr>
              <w:t>的行为</w:t>
            </w:r>
          </w:p>
        </w:tc>
        <w:tc>
          <w:tcPr>
            <w:tcW w:w="1079" w:type="pct"/>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b w:val="0"/>
                <w:bCs w:val="0"/>
                <w:color w:val="auto"/>
                <w:spacing w:val="-5"/>
                <w:sz w:val="18"/>
                <w:szCs w:val="18"/>
                <w:highlight w:val="none"/>
                <w:shd w:val="clear" w:color="auto" w:fill="auto"/>
                <w:lang w:val="en-US" w:eastAsia="zh-CN"/>
              </w:rPr>
            </w:pP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1、有下列情形之一的:（1）</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不满十四周岁的未成年人有违法行为的</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2）精神病人、智力残疾人在不能辨认或者不能控制自己行为时有违法行为的;（3）违法行为轻微并及时纠正，没有造成危害后果的;（4）当事人有证据足以证明没有主观过错的；（5）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b w:val="0"/>
                <w:bCs w:val="0"/>
                <w:i w:val="0"/>
                <w:iCs w:val="0"/>
                <w:caps w:val="0"/>
                <w:color w:val="auto"/>
                <w:spacing w:val="-5"/>
                <w:sz w:val="18"/>
                <w:szCs w:val="18"/>
                <w:highlight w:val="none"/>
                <w:shd w:val="clear" w:color="auto" w:fill="auto"/>
                <w:lang w:val="en-US" w:eastAsia="zh-CN"/>
              </w:rPr>
            </w:pPr>
            <w:r>
              <w:rPr>
                <w:rFonts w:hint="default" w:ascii="Times New Roman" w:hAnsi="Times New Roman" w:eastAsia="仿宋_GB2312" w:cs="Times New Roman"/>
                <w:color w:val="auto"/>
                <w:spacing w:val="-5"/>
                <w:kern w:val="2"/>
                <w:sz w:val="18"/>
                <w:szCs w:val="18"/>
                <w:lang w:val="en-US" w:eastAsia="zh-CN" w:bidi="ar-SA"/>
              </w:rPr>
              <w:t>2、初次违法且危害后果轻微并及时改正的。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b w:val="0"/>
                <w:bCs w:val="0"/>
                <w:i w:val="0"/>
                <w:iCs w:val="0"/>
                <w:caps w:val="0"/>
                <w:color w:val="auto"/>
                <w:spacing w:val="-5"/>
                <w:sz w:val="18"/>
                <w:szCs w:val="18"/>
                <w:highlight w:val="none"/>
                <w:shd w:val="clear" w:color="auto" w:fill="auto"/>
                <w:lang w:val="en-US" w:eastAsia="zh-CN"/>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b w:val="0"/>
                <w:bCs w:val="0"/>
                <w:i w:val="0"/>
                <w:iCs w:val="0"/>
                <w:caps w:val="0"/>
                <w:color w:val="auto"/>
                <w:spacing w:val="-5"/>
                <w:sz w:val="18"/>
                <w:szCs w:val="18"/>
                <w:highlight w:val="none"/>
                <w:shd w:val="clear" w:color="auto" w:fill="auto"/>
                <w:lang w:val="en-US" w:eastAsia="zh-CN"/>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190" w:lineRule="exact"/>
              <w:jc w:val="both"/>
              <w:textAlignment w:val="auto"/>
              <w:rPr>
                <w:rFonts w:hint="default" w:ascii="Times New Roman" w:hAnsi="Times New Roman" w:eastAsia="仿宋_GB2312" w:cs="Times New Roman"/>
                <w:b w:val="0"/>
                <w:bCs w:val="0"/>
                <w:i w:val="0"/>
                <w:iCs w:val="0"/>
                <w:caps w:val="0"/>
                <w:color w:val="auto"/>
                <w:spacing w:val="-7"/>
                <w:sz w:val="18"/>
                <w:szCs w:val="18"/>
                <w:highlight w:val="none"/>
                <w:shd w:val="clear" w:color="auto" w:fill="auto"/>
                <w:lang w:eastAsia="zh-CN"/>
              </w:rPr>
            </w:pPr>
            <w:r>
              <w:rPr>
                <w:rFonts w:hint="default" w:ascii="Times New Roman" w:hAnsi="Times New Roman" w:eastAsia="仿宋_GB2312" w:cs="Times New Roman"/>
                <w:b w:val="0"/>
                <w:bCs w:val="0"/>
                <w:i w:val="0"/>
                <w:iCs w:val="0"/>
                <w:caps w:val="0"/>
                <w:color w:val="auto"/>
                <w:spacing w:val="-7"/>
                <w:sz w:val="18"/>
                <w:szCs w:val="18"/>
                <w:highlight w:val="none"/>
                <w:shd w:val="clear" w:color="auto" w:fill="auto"/>
              </w:rPr>
              <w:t>中华人民共和国监控化学品管理条例》（国务院令第190号）</w:t>
            </w:r>
            <w:r>
              <w:rPr>
                <w:rFonts w:hint="default" w:ascii="Times New Roman" w:hAnsi="Times New Roman" w:eastAsia="仿宋_GB2312" w:cs="Times New Roman"/>
                <w:b w:val="0"/>
                <w:bCs w:val="0"/>
                <w:i w:val="0"/>
                <w:iCs w:val="0"/>
                <w:caps w:val="0"/>
                <w:color w:val="auto"/>
                <w:spacing w:val="-7"/>
                <w:sz w:val="18"/>
                <w:szCs w:val="18"/>
                <w:highlight w:val="none"/>
                <w:shd w:val="clear" w:color="auto" w:fill="auto"/>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190" w:lineRule="exact"/>
              <w:jc w:val="both"/>
              <w:textAlignment w:val="auto"/>
              <w:rPr>
                <w:rFonts w:hint="default" w:ascii="Times New Roman" w:hAnsi="Times New Roman" w:eastAsia="仿宋_GB2312" w:cs="Times New Roman"/>
                <w:b w:val="0"/>
                <w:bCs w:val="0"/>
                <w:i w:val="0"/>
                <w:iCs w:val="0"/>
                <w:caps w:val="0"/>
                <w:color w:val="auto"/>
                <w:spacing w:val="-7"/>
                <w:sz w:val="18"/>
                <w:szCs w:val="18"/>
                <w:highlight w:val="none"/>
                <w:shd w:val="clear" w:color="auto" w:fill="auto"/>
                <w:lang w:eastAsia="zh-CN"/>
              </w:rPr>
            </w:pPr>
            <w:r>
              <w:rPr>
                <w:rFonts w:hint="default" w:ascii="Times New Roman" w:hAnsi="Times New Roman" w:eastAsia="仿宋_GB2312" w:cs="Times New Roman"/>
                <w:b w:val="0"/>
                <w:bCs w:val="0"/>
                <w:i w:val="0"/>
                <w:iCs w:val="0"/>
                <w:caps w:val="0"/>
                <w:color w:val="auto"/>
                <w:spacing w:val="-7"/>
                <w:sz w:val="18"/>
                <w:szCs w:val="18"/>
                <w:highlight w:val="none"/>
                <w:shd w:val="clear" w:color="auto" w:fill="auto"/>
                <w:lang w:eastAsia="zh-CN"/>
              </w:rPr>
              <w:t>第二十一条 违反本条例规定，生产监控化学品的，由省、自治区、直辖市人民政府化学工业主管部门责令限期改正；逾期不改正的，可以处20万元以下的罚款；情节严重的，可以提请省、自治区、直辖市人民政府责令停产整顿。</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190" w:lineRule="exact"/>
              <w:jc w:val="both"/>
              <w:textAlignment w:val="auto"/>
              <w:rPr>
                <w:rFonts w:hint="default" w:ascii="Times New Roman" w:hAnsi="Times New Roman" w:eastAsia="仿宋_GB2312" w:cs="Times New Roman"/>
                <w:b w:val="0"/>
                <w:bCs w:val="0"/>
                <w:i w:val="0"/>
                <w:iCs w:val="0"/>
                <w:caps w:val="0"/>
                <w:color w:val="auto"/>
                <w:spacing w:val="-7"/>
                <w:sz w:val="18"/>
                <w:szCs w:val="18"/>
                <w:highlight w:val="none"/>
                <w:shd w:val="clear" w:color="auto" w:fill="auto"/>
                <w:lang w:eastAsia="zh-CN"/>
              </w:rPr>
            </w:pPr>
            <w:r>
              <w:rPr>
                <w:rFonts w:hint="default" w:ascii="Times New Roman" w:hAnsi="Times New Roman" w:eastAsia="仿宋_GB2312" w:cs="Times New Roman"/>
                <w:b w:val="0"/>
                <w:bCs w:val="0"/>
                <w:i w:val="0"/>
                <w:iCs w:val="0"/>
                <w:caps w:val="0"/>
                <w:color w:val="auto"/>
                <w:spacing w:val="-7"/>
                <w:sz w:val="18"/>
                <w:szCs w:val="18"/>
                <w:highlight w:val="none"/>
                <w:shd w:val="clear" w:color="auto" w:fill="auto"/>
                <w:lang w:eastAsia="zh-CN"/>
              </w:rPr>
              <w:t>第二十二条 违反本条例规定，使用监控化学品的，由省、自治区、直辖市人民政府化学工业主管部门责令限期改正；逾期不改正的，可以处5万元以下的罚款。</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190" w:lineRule="exact"/>
              <w:jc w:val="both"/>
              <w:textAlignment w:val="auto"/>
              <w:rPr>
                <w:rFonts w:hint="default" w:ascii="Times New Roman" w:hAnsi="Times New Roman" w:eastAsia="仿宋_GB2312" w:cs="Times New Roman"/>
                <w:b w:val="0"/>
                <w:bCs w:val="0"/>
                <w:i w:val="0"/>
                <w:iCs w:val="0"/>
                <w:caps w:val="0"/>
                <w:color w:val="auto"/>
                <w:spacing w:val="-7"/>
                <w:sz w:val="18"/>
                <w:szCs w:val="18"/>
                <w:highlight w:val="none"/>
                <w:shd w:val="clear" w:color="auto" w:fill="auto"/>
                <w:lang w:eastAsia="zh-CN"/>
              </w:rPr>
            </w:pPr>
            <w:r>
              <w:rPr>
                <w:rFonts w:hint="default" w:ascii="Times New Roman" w:hAnsi="Times New Roman" w:eastAsia="仿宋_GB2312" w:cs="Times New Roman"/>
                <w:b w:val="0"/>
                <w:bCs w:val="0"/>
                <w:i w:val="0"/>
                <w:iCs w:val="0"/>
                <w:caps w:val="0"/>
                <w:color w:val="auto"/>
                <w:spacing w:val="-7"/>
                <w:sz w:val="18"/>
                <w:szCs w:val="18"/>
                <w:highlight w:val="none"/>
                <w:shd w:val="clear" w:color="auto" w:fill="auto"/>
                <w:lang w:eastAsia="zh-CN"/>
              </w:rPr>
              <w:t>第二十三条 违反本条例规定，经营监控化学品的，由省、自治区、直辖市人民政府化学工业主管部门没收其违法经营的监控化学品和违法所得，可以并处违法经营额1倍以上2倍以下的罚款。</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190" w:lineRule="exact"/>
              <w:jc w:val="both"/>
              <w:textAlignment w:val="auto"/>
              <w:rPr>
                <w:rFonts w:hint="default" w:ascii="Times New Roman" w:hAnsi="Times New Roman" w:eastAsia="仿宋_GB2312" w:cs="Times New Roman"/>
                <w:b w:val="0"/>
                <w:bCs w:val="0"/>
                <w:i w:val="0"/>
                <w:iCs w:val="0"/>
                <w:caps w:val="0"/>
                <w:color w:val="auto"/>
                <w:spacing w:val="-7"/>
                <w:sz w:val="18"/>
                <w:szCs w:val="18"/>
                <w:highlight w:val="none"/>
                <w:shd w:val="clear" w:color="auto" w:fill="auto"/>
                <w:lang w:eastAsia="zh-CN"/>
              </w:rPr>
            </w:pPr>
            <w:r>
              <w:rPr>
                <w:rFonts w:hint="default" w:ascii="Times New Roman" w:hAnsi="Times New Roman" w:eastAsia="仿宋_GB2312" w:cs="Times New Roman"/>
                <w:b w:val="0"/>
                <w:bCs w:val="0"/>
                <w:i w:val="0"/>
                <w:iCs w:val="0"/>
                <w:caps w:val="0"/>
                <w:color w:val="auto"/>
                <w:spacing w:val="-7"/>
                <w:sz w:val="18"/>
                <w:szCs w:val="18"/>
                <w:highlight w:val="none"/>
                <w:shd w:val="clear" w:color="auto" w:fill="auto"/>
                <w:lang w:eastAsia="zh-CN"/>
              </w:rPr>
              <w:t>第二十四条 违反本条例规定，隐瞒、拒报有关监控化学品的资料、数据，或者妨碍、阻挠化学工业主管部门依照本条例的规定履行检查监督职责的，由省、自治区、直辖市人民政府化学工业主管部门处以5万元以下的罚款。</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190" w:lineRule="exact"/>
              <w:jc w:val="both"/>
              <w:textAlignment w:val="auto"/>
              <w:rPr>
                <w:rFonts w:hint="default" w:ascii="Times New Roman" w:hAnsi="Times New Roman" w:eastAsia="仿宋_GB2312" w:cs="Times New Roman"/>
                <w:b w:val="0"/>
                <w:bCs w:val="0"/>
                <w:i w:val="0"/>
                <w:iCs w:val="0"/>
                <w:caps w:val="0"/>
                <w:color w:val="auto"/>
                <w:spacing w:val="-7"/>
                <w:sz w:val="18"/>
                <w:szCs w:val="18"/>
                <w:highlight w:val="none"/>
                <w:shd w:val="clear" w:color="auto" w:fill="auto"/>
              </w:rPr>
            </w:pPr>
            <w:r>
              <w:rPr>
                <w:rFonts w:hint="default" w:ascii="Times New Roman" w:hAnsi="Times New Roman" w:eastAsia="仿宋_GB2312" w:cs="Times New Roman"/>
                <w:b w:val="0"/>
                <w:bCs w:val="0"/>
                <w:i w:val="0"/>
                <w:iCs w:val="0"/>
                <w:caps w:val="0"/>
                <w:color w:val="auto"/>
                <w:spacing w:val="-7"/>
                <w:sz w:val="18"/>
                <w:szCs w:val="18"/>
                <w:highlight w:val="none"/>
                <w:shd w:val="clear" w:color="auto" w:fill="auto"/>
                <w:lang w:eastAsia="zh-CN"/>
              </w:rPr>
              <w:t>第二十五条 违反本条例规定，构成违反治安管理行为的，依照《中华人民共和国治安管理处罚法》的有关规定处罚；构成犯罪的，依法追究刑事责任。</w:t>
            </w:r>
          </w:p>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190" w:lineRule="exact"/>
              <w:jc w:val="both"/>
              <w:textAlignment w:val="auto"/>
              <w:rPr>
                <w:rFonts w:hint="default" w:ascii="Times New Roman" w:hAnsi="Times New Roman" w:eastAsia="仿宋_GB2312" w:cs="Times New Roman"/>
                <w:b w:val="0"/>
                <w:bCs w:val="0"/>
                <w:i w:val="0"/>
                <w:iCs w:val="0"/>
                <w:caps w:val="0"/>
                <w:color w:val="auto"/>
                <w:spacing w:val="-5"/>
                <w:sz w:val="18"/>
                <w:szCs w:val="18"/>
                <w:highlight w:val="none"/>
                <w:shd w:val="clear" w:color="auto" w:fil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lang w:val="en-US" w:eastAsia="zh-CN"/>
              </w:rPr>
              <w:t>24</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eastAsia"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rPr>
              <w:t>用户用电危害到供电、用电安全和扰乱供电、用电秩序的</w:t>
            </w:r>
            <w:r>
              <w:rPr>
                <w:rFonts w:hint="eastAsia" w:ascii="Times New Roman" w:hAnsi="Times New Roman" w:cs="Times New Roman"/>
                <w:b w:val="0"/>
                <w:bCs w:val="0"/>
                <w:color w:val="auto"/>
                <w:spacing w:val="-5"/>
                <w:sz w:val="18"/>
                <w:szCs w:val="18"/>
                <w:shd w:val="clear" w:color="auto" w:fill="auto"/>
                <w:lang w:eastAsia="zh-CN"/>
              </w:rPr>
              <w:t>行为</w:t>
            </w:r>
          </w:p>
        </w:tc>
        <w:tc>
          <w:tcPr>
            <w:tcW w:w="1079"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不满十四周岁的未成年人有违法行为的</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2）精神病人、智力残疾人在不能辨认或者不能控制自己行为时有违法行为的;（3）违法行为轻微并及时纠正，没有造成危害后果的;（4）当事人有证据足以证明没有主观过错的；（5）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ind w:firstLine="166" w:firstLineChars="100"/>
              <w:jc w:val="both"/>
              <w:textAlignment w:val="auto"/>
              <w:rPr>
                <w:rFonts w:hint="default"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rPr>
              <w:t>《中华人民共和国电力法》第六十五条：“违反本法第三十二条规定，危害供电、用电安全或者扰乱供电、用电秩序的，由电力管理部门责令改正，给予警告；情节严重或者拒绝改正的，可以中止供电，可以并处五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1"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lang w:val="en-US" w:eastAsia="zh-CN"/>
              </w:rPr>
              <w:t>25</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eastAsia"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rPr>
              <w:t>供电人中止供电不符合法定情形</w:t>
            </w:r>
            <w:r>
              <w:rPr>
                <w:rFonts w:hint="eastAsia" w:ascii="Times New Roman" w:hAnsi="Times New Roman" w:cs="Times New Roman"/>
                <w:b w:val="0"/>
                <w:bCs w:val="0"/>
                <w:color w:val="auto"/>
                <w:spacing w:val="-5"/>
                <w:sz w:val="18"/>
                <w:szCs w:val="18"/>
                <w:shd w:val="clear" w:color="auto" w:fill="auto"/>
                <w:lang w:eastAsia="zh-CN"/>
              </w:rPr>
              <w:t>的行为</w:t>
            </w:r>
          </w:p>
        </w:tc>
        <w:tc>
          <w:tcPr>
            <w:tcW w:w="1079"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val="en-US" w:eastAsia="zh-CN"/>
              </w:rPr>
            </w:pPr>
            <w:r>
              <w:rPr>
                <w:rFonts w:hint="default" w:ascii="Times New Roman" w:hAnsi="Times New Roman" w:eastAsia="仿宋_GB2312" w:cs="Times New Roman"/>
                <w:color w:val="auto"/>
                <w:spacing w:val="-5"/>
                <w:sz w:val="18"/>
                <w:szCs w:val="18"/>
                <w:highlight w:val="none"/>
                <w:lang w:val="en-US"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color w:val="auto"/>
                <w:spacing w:val="-5"/>
                <w:sz w:val="18"/>
                <w:szCs w:val="18"/>
                <w:highlight w:val="none"/>
                <w:lang w:val="en-US" w:eastAsia="zh-CN"/>
              </w:rPr>
              <w:t>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b w:val="0"/>
                <w:bCs w:val="0"/>
                <w:color w:val="auto"/>
                <w:spacing w:val="-5"/>
                <w:sz w:val="18"/>
                <w:szCs w:val="18"/>
                <w:shd w:val="clear" w:color="auto" w:fill="auto"/>
                <w:lang w:eastAsia="zh-CN"/>
              </w:rPr>
              <w:t>《</w:t>
            </w:r>
            <w:r>
              <w:rPr>
                <w:rFonts w:hint="default" w:ascii="Times New Roman" w:hAnsi="Times New Roman" w:eastAsia="仿宋_GB2312" w:cs="Times New Roman"/>
                <w:b w:val="0"/>
                <w:bCs w:val="0"/>
                <w:color w:val="auto"/>
                <w:spacing w:val="-5"/>
                <w:sz w:val="18"/>
                <w:szCs w:val="18"/>
                <w:shd w:val="clear" w:color="auto" w:fill="auto"/>
              </w:rPr>
              <w:t>中华人民共和国电力法》第六十四条：“违反本法第二十六条、第二十九条规定，拒绝供电或者中断供电的，由电力管理部门责令改正，给予警告；情节严重的，对有关主管人员和直接责任人员给予行政处分。”</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rPr>
              <w:t>《四川省电力设施保护和供用电秩序维护条例》第五十三条：“违反本条例第三十五条、第三十六条规定，供电人中止供电不符合法定情形或者中止供电未按要求履行公告义务的，由电力管理部门责令改正，给予警告；情节严重的，处以五千元以上三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lang w:val="en-US" w:eastAsia="zh-CN"/>
              </w:rPr>
              <w:t>26</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eastAsia"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rPr>
              <w:t>供电人在中止供电原因消除后不按时恢复供电</w:t>
            </w:r>
            <w:r>
              <w:rPr>
                <w:rFonts w:hint="eastAsia" w:ascii="Times New Roman" w:hAnsi="Times New Roman" w:cs="Times New Roman"/>
                <w:b w:val="0"/>
                <w:bCs w:val="0"/>
                <w:color w:val="auto"/>
                <w:spacing w:val="-5"/>
                <w:sz w:val="18"/>
                <w:szCs w:val="18"/>
                <w:shd w:val="clear" w:color="auto" w:fill="auto"/>
                <w:lang w:eastAsia="zh-CN"/>
              </w:rPr>
              <w:t>的行为</w:t>
            </w:r>
          </w:p>
        </w:tc>
        <w:tc>
          <w:tcPr>
            <w:tcW w:w="1079"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00" w:lineRule="exact"/>
              <w:jc w:val="both"/>
              <w:textAlignment w:val="auto"/>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rPr>
              <w:t>《四川省电力设施保护和供用电秩序维护条例》第五十四条：“供电人违反本条例第三十七条规定不按时恢复供电的，由电力管理部门责令改正，给予警告；情节严重的，处以一万元以上三万元以下罚款。”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b w:val="0"/>
                <w:bCs w:val="0"/>
                <w:color w:val="auto"/>
                <w:spacing w:val="-5"/>
                <w:kern w:val="2"/>
                <w:sz w:val="18"/>
                <w:szCs w:val="18"/>
                <w:shd w:val="clear" w:color="auto" w:fill="auto"/>
                <w:lang w:val="en-US" w:eastAsia="zh-CN" w:bidi="ar-SA"/>
              </w:rPr>
            </w:pPr>
            <w:bookmarkStart w:id="0" w:name="_GoBack"/>
            <w:r>
              <w:rPr>
                <w:rFonts w:hint="default" w:ascii="Times New Roman" w:hAnsi="Times New Roman" w:eastAsia="仿宋_GB2312" w:cs="Times New Roman"/>
                <w:b w:val="0"/>
                <w:bCs w:val="0"/>
                <w:color w:val="auto"/>
                <w:spacing w:val="-5"/>
                <w:sz w:val="18"/>
                <w:szCs w:val="18"/>
                <w:shd w:val="clear" w:color="auto" w:fill="auto"/>
                <w:lang w:val="en-US" w:eastAsia="zh-CN"/>
              </w:rPr>
              <w:t>27</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eastAsia"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rPr>
              <w:t>盗窃电能</w:t>
            </w:r>
            <w:r>
              <w:rPr>
                <w:rFonts w:hint="eastAsia" w:ascii="Times New Roman" w:hAnsi="Times New Roman" w:cs="Times New Roman"/>
                <w:b w:val="0"/>
                <w:bCs w:val="0"/>
                <w:color w:val="auto"/>
                <w:spacing w:val="-5"/>
                <w:sz w:val="18"/>
                <w:szCs w:val="18"/>
                <w:shd w:val="clear" w:color="auto" w:fill="auto"/>
                <w:lang w:eastAsia="zh-CN"/>
              </w:rPr>
              <w:t>的行为</w:t>
            </w:r>
          </w:p>
        </w:tc>
        <w:tc>
          <w:tcPr>
            <w:tcW w:w="1079" w:type="pc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200" w:lineRule="exact"/>
              <w:jc w:val="both"/>
              <w:textAlignment w:val="auto"/>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不满十四周岁的未成年人有违法行为的</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2）精神病人、智力残疾人在不能辨认或者不能控制自己行为时有违法行为的;（3）违法行为轻微并及时纠正，没有造成危害后果的;（4）当事人有证据足以证明没有主观过错的；（5）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b w:val="0"/>
                <w:bCs w:val="0"/>
                <w:color w:val="auto"/>
                <w:spacing w:val="-5"/>
                <w:sz w:val="18"/>
                <w:szCs w:val="18"/>
                <w:shd w:val="clear" w:color="auto" w:fill="auto"/>
              </w:rPr>
              <w:t>《中华人民共和国电力法》第七十一条、《电力供应与使用条例》第四十一条：“盗窃电能的，由电力管理部门责令停止违法行为，追缴电费并处应交电费五倍以下的罚款。”</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rPr>
              <w:t>《四川省电力设施保护和供用电秩序维护条例》第五十二条：“违返本条例规定，盗窃电能的，由电力管理部门责令停止违法行为，并处以应交电费1倍以上5倍以下的罚款。”</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8"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lang w:val="en-US" w:eastAsia="zh-CN"/>
              </w:rPr>
              <w:t>28</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eastAsia"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rPr>
              <w:t>危害电力设施安全</w:t>
            </w:r>
            <w:r>
              <w:rPr>
                <w:rFonts w:hint="eastAsia" w:ascii="Times New Roman" w:hAnsi="Times New Roman" w:cs="Times New Roman"/>
                <w:b w:val="0"/>
                <w:bCs w:val="0"/>
                <w:color w:val="auto"/>
                <w:spacing w:val="-5"/>
                <w:sz w:val="18"/>
                <w:szCs w:val="18"/>
                <w:shd w:val="clear" w:color="auto" w:fill="auto"/>
                <w:lang w:eastAsia="zh-CN"/>
              </w:rPr>
              <w:t>的行为</w:t>
            </w:r>
          </w:p>
        </w:tc>
        <w:tc>
          <w:tcPr>
            <w:tcW w:w="1079"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b w:val="0"/>
                <w:bCs w:val="0"/>
                <w:color w:val="auto"/>
                <w:spacing w:val="-5"/>
                <w:sz w:val="18"/>
                <w:szCs w:val="18"/>
                <w:highlight w:val="none"/>
                <w:shd w:val="clear" w:color="auto" w:fill="auto"/>
                <w:lang w:val="en-US" w:eastAsia="zh-CN"/>
              </w:rPr>
            </w:pP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1、有下列情形之一的:（1）</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不满十四周岁的未成年人有违法行为的</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2）精神病人、智力残疾人在不能辨认或者不能控制自己行为时有违法行为的;（3）违法行为轻微并及时纠正，没有造成危害后果的;（4）当事人有证据足以证明没有主观过错的；（5）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color w:val="auto"/>
                <w:spacing w:val="-5"/>
                <w:sz w:val="18"/>
                <w:szCs w:val="18"/>
                <w:lang w:val="en-US" w:eastAsia="zh-CN"/>
              </w:rPr>
              <w:t>2、</w:t>
            </w:r>
            <w:r>
              <w:rPr>
                <w:rFonts w:hint="default" w:ascii="Times New Roman" w:hAnsi="Times New Roman" w:eastAsia="仿宋_GB2312" w:cs="Times New Roman"/>
                <w:color w:val="auto"/>
                <w:spacing w:val="-5"/>
                <w:sz w:val="18"/>
                <w:szCs w:val="18"/>
                <w:lang w:eastAsia="zh-CN"/>
              </w:rPr>
              <w:t>危害电力设施，</w:t>
            </w:r>
            <w:r>
              <w:rPr>
                <w:rFonts w:hint="default" w:ascii="Times New Roman" w:hAnsi="Times New Roman" w:eastAsia="仿宋_GB2312" w:cs="Times New Roman"/>
                <w:color w:val="auto"/>
                <w:spacing w:val="-5"/>
                <w:kern w:val="2"/>
                <w:sz w:val="18"/>
                <w:szCs w:val="18"/>
                <w:lang w:val="en-US" w:eastAsia="zh-CN" w:bidi="ar-SA"/>
              </w:rPr>
              <w:t>初次违法且危害后果轻微并及时改正的。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b w:val="0"/>
                <w:bCs w:val="0"/>
                <w:color w:val="auto"/>
                <w:spacing w:val="-5"/>
                <w:sz w:val="18"/>
                <w:szCs w:val="18"/>
                <w:shd w:val="clear" w:color="auto" w:fill="auto"/>
              </w:rPr>
              <w:t>《电力设施保护条例》第二十七条：“违反本条例规定，危害发电设施、变电设施和电力线路设施的，由电力管理部门责令改正；拒不改正的，处1万元以下的罚款。”</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b w:val="0"/>
                <w:bCs w:val="0"/>
                <w:color w:val="auto"/>
                <w:spacing w:val="-5"/>
                <w:sz w:val="18"/>
                <w:szCs w:val="18"/>
                <w:shd w:val="clear" w:color="auto" w:fill="auto"/>
              </w:rPr>
              <w:t>《电力设施保护条例实施细则》第二十条：“下列危害电力设施的行为，情节显著轻微的，由电力管理部门责令改正；拒不改正的，处1000元以上10000元以下罚款：（一）损坏使用中的杆塔基础的；（二）损坏、拆卸、盗窃使用中或备用塔材、导线等电力设施的；（三）拆卸、盗窃使用中或备用变压器等电力设备的。”</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rPr>
              <w:t>《四川省电力设施保护和供用电秩序维护条例》第四十九条：“违反本条例第十四条第六项至第十项规定，危害电力设施安全的，由电力管理部门责令改正；拒不改正的，处以一千元以上一万元以下的罚款。”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0" w:hRule="atLeast"/>
          <w:jc w:val="center"/>
        </w:trPr>
        <w:tc>
          <w:tcPr>
            <w:tcW w:w="25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textAlignment w:val="auto"/>
              <w:rPr>
                <w:rFonts w:hint="default"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lang w:val="en-US" w:eastAsia="zh-CN"/>
              </w:rPr>
              <w:t>29</w:t>
            </w:r>
          </w:p>
        </w:tc>
        <w:tc>
          <w:tcPr>
            <w:tcW w:w="42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eastAsia"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rPr>
              <w:t>电力设施产权人违反相关规定</w:t>
            </w:r>
            <w:r>
              <w:rPr>
                <w:rFonts w:hint="eastAsia" w:ascii="Times New Roman" w:hAnsi="Times New Roman" w:cs="Times New Roman"/>
                <w:b w:val="0"/>
                <w:bCs w:val="0"/>
                <w:color w:val="auto"/>
                <w:spacing w:val="-5"/>
                <w:sz w:val="18"/>
                <w:szCs w:val="18"/>
                <w:shd w:val="clear" w:color="auto" w:fill="auto"/>
                <w:lang w:eastAsia="zh-CN"/>
              </w:rPr>
              <w:t>的行为</w:t>
            </w:r>
          </w:p>
        </w:tc>
        <w:tc>
          <w:tcPr>
            <w:tcW w:w="1079" w:type="pct"/>
            <w:noWrap w:val="0"/>
            <w:vAlign w:val="center"/>
          </w:tcPr>
          <w:p>
            <w:pPr>
              <w:keepNext w:val="0"/>
              <w:keepLines w:val="0"/>
              <w:pageBreakBefore w:val="0"/>
              <w:numPr>
                <w:ilvl w:val="0"/>
                <w:numId w:val="3"/>
              </w:numPr>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b w:val="0"/>
                <w:bCs w:val="0"/>
                <w:color w:val="auto"/>
                <w:spacing w:val="-5"/>
                <w:sz w:val="18"/>
                <w:szCs w:val="18"/>
                <w:highlight w:val="none"/>
                <w:shd w:val="clear" w:color="auto" w:fill="auto"/>
                <w:lang w:val="en-US" w:eastAsia="zh-CN"/>
              </w:rPr>
            </w:pP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有下列情形之一的:（1））违法行为轻微并及时纠正，没有造成危害后果的;（2）当事人有证据足以证明没有主观过错的；（3）违法行为在二年内未被发现的（</w:t>
            </w:r>
            <w:r>
              <w:rPr>
                <w:rFonts w:hint="default" w:ascii="Times New Roman" w:hAnsi="Times New Roman" w:eastAsia="仿宋_GB2312" w:cs="Times New Roman"/>
                <w:i w:val="0"/>
                <w:iCs w:val="0"/>
                <w:caps w:val="0"/>
                <w:color w:val="auto"/>
                <w:spacing w:val="-5"/>
                <w:kern w:val="2"/>
                <w:sz w:val="18"/>
                <w:szCs w:val="18"/>
                <w:highlight w:val="none"/>
                <w:shd w:val="clear" w:color="auto" w:fill="auto"/>
                <w:lang w:val="en-US" w:eastAsia="zh-CN" w:bidi="ar"/>
              </w:rPr>
              <w:t>涉及公民生命健康安全、金融安全且有危害后果的，上述期限延长至五年</w:t>
            </w:r>
            <w:r>
              <w:rPr>
                <w:rFonts w:hint="default" w:ascii="Times New Roman" w:hAnsi="Times New Roman" w:eastAsia="仿宋_GB2312" w:cs="Times New Roman"/>
                <w:b w:val="0"/>
                <w:bCs w:val="0"/>
                <w:color w:val="auto"/>
                <w:spacing w:val="-5"/>
                <w:sz w:val="18"/>
                <w:szCs w:val="18"/>
                <w:highlight w:val="none"/>
                <w:shd w:val="clear" w:color="auto" w:fill="auto"/>
                <w:lang w:val="en-US" w:eastAsia="zh-CN"/>
              </w:rPr>
              <w:t>）。</w:t>
            </w:r>
          </w:p>
          <w:p>
            <w:pPr>
              <w:keepNext w:val="0"/>
              <w:keepLines w:val="0"/>
              <w:pageBreakBefore w:val="0"/>
              <w:numPr>
                <w:ilvl w:val="0"/>
                <w:numId w:val="0"/>
              </w:numPr>
              <w:shd w:val="clear" w:color="auto" w:fill="auto"/>
              <w:kinsoku/>
              <w:wordWrap/>
              <w:overflowPunct/>
              <w:topLinePunct w:val="0"/>
              <w:autoSpaceDE/>
              <w:autoSpaceDN/>
              <w:bidi w:val="0"/>
              <w:adjustRightInd/>
              <w:snapToGrid/>
              <w:spacing w:beforeAutospacing="0" w:afterAutospacing="0" w:line="220" w:lineRule="exact"/>
              <w:ind w:left="0" w:leftChars="0" w:firstLine="0" w:firstLineChars="0"/>
              <w:jc w:val="both"/>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color w:val="auto"/>
                <w:spacing w:val="-5"/>
                <w:sz w:val="18"/>
                <w:szCs w:val="18"/>
                <w:lang w:val="en-US" w:eastAsia="zh-CN"/>
              </w:rPr>
              <w:t>2、</w:t>
            </w:r>
            <w:r>
              <w:rPr>
                <w:rFonts w:hint="default" w:ascii="Times New Roman" w:hAnsi="Times New Roman" w:eastAsia="仿宋_GB2312" w:cs="Times New Roman"/>
                <w:color w:val="auto"/>
                <w:spacing w:val="-5"/>
                <w:sz w:val="18"/>
                <w:szCs w:val="18"/>
                <w:lang w:eastAsia="zh-CN"/>
              </w:rPr>
              <w:t>未制定电力设施突发事件应急预案的，或未按规定对电力设施进行维护、检修，</w:t>
            </w:r>
            <w:r>
              <w:rPr>
                <w:rFonts w:hint="default" w:ascii="Times New Roman" w:hAnsi="Times New Roman" w:eastAsia="仿宋_GB2312" w:cs="Times New Roman"/>
                <w:color w:val="auto"/>
                <w:spacing w:val="-5"/>
                <w:kern w:val="2"/>
                <w:sz w:val="18"/>
                <w:szCs w:val="18"/>
                <w:lang w:val="en-US" w:eastAsia="zh-CN" w:bidi="ar-SA"/>
              </w:rPr>
              <w:t>初次违法且危害后果轻微并及时改正的。</w:t>
            </w:r>
          </w:p>
        </w:tc>
        <w:tc>
          <w:tcPr>
            <w:tcW w:w="544"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color w:val="auto"/>
                <w:spacing w:val="-5"/>
                <w:sz w:val="18"/>
                <w:szCs w:val="18"/>
                <w:highlight w:val="none"/>
                <w:lang w:eastAsia="zh-CN"/>
              </w:rPr>
            </w:pPr>
            <w:r>
              <w:rPr>
                <w:rFonts w:hint="default" w:ascii="Times New Roman" w:hAnsi="Times New Roman" w:eastAsia="仿宋_GB2312" w:cs="Times New Roman"/>
                <w:color w:val="auto"/>
                <w:spacing w:val="-5"/>
                <w:sz w:val="18"/>
                <w:szCs w:val="18"/>
                <w:highlight w:val="none"/>
                <w:lang w:eastAsia="zh-CN"/>
              </w:rPr>
              <w:t>不予</w:t>
            </w:r>
          </w:p>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center"/>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color w:val="auto"/>
                <w:spacing w:val="-5"/>
                <w:sz w:val="18"/>
                <w:szCs w:val="18"/>
                <w:highlight w:val="none"/>
                <w:lang w:eastAsia="zh-CN"/>
              </w:rPr>
              <w:t>处罚</w:t>
            </w:r>
          </w:p>
        </w:tc>
        <w:tc>
          <w:tcPr>
            <w:tcW w:w="586"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rPr>
                <w:rFonts w:hint="default" w:ascii="Times New Roman" w:hAnsi="Times New Roman" w:eastAsia="仿宋_GB2312" w:cs="Times New Roman"/>
                <w:b w:val="0"/>
                <w:bCs w:val="0"/>
                <w:color w:val="auto"/>
                <w:spacing w:val="-5"/>
                <w:sz w:val="18"/>
                <w:szCs w:val="18"/>
                <w:shd w:val="clear" w:color="auto" w:fill="auto"/>
              </w:rPr>
            </w:pPr>
            <w:r>
              <w:rPr>
                <w:rFonts w:hint="default" w:ascii="Times New Roman" w:hAnsi="Times New Roman" w:eastAsia="仿宋_GB2312" w:cs="Times New Roman"/>
                <w:color w:val="auto"/>
                <w:spacing w:val="-5"/>
                <w:sz w:val="18"/>
                <w:szCs w:val="18"/>
                <w:lang w:val="en-US" w:eastAsia="zh-CN"/>
              </w:rPr>
              <w:t>不实施行政处罚</w:t>
            </w:r>
          </w:p>
        </w:tc>
        <w:tc>
          <w:tcPr>
            <w:tcW w:w="2111" w:type="pct"/>
            <w:noWrap w:val="0"/>
            <w:vAlign w:val="center"/>
          </w:tcPr>
          <w:p>
            <w:pPr>
              <w:keepNext w:val="0"/>
              <w:keepLines w:val="0"/>
              <w:pageBreakBefore w:val="0"/>
              <w:shd w:val="clear" w:color="auto" w:fill="auto"/>
              <w:kinsoku/>
              <w:wordWrap/>
              <w:overflowPunct/>
              <w:topLinePunct w:val="0"/>
              <w:autoSpaceDE/>
              <w:autoSpaceDN/>
              <w:bidi w:val="0"/>
              <w:adjustRightInd/>
              <w:snapToGrid/>
              <w:spacing w:beforeAutospacing="0" w:afterAutospacing="0" w:line="220" w:lineRule="exact"/>
              <w:jc w:val="both"/>
              <w:textAlignment w:val="auto"/>
              <w:rPr>
                <w:rFonts w:hint="default" w:ascii="Times New Roman" w:hAnsi="Times New Roman" w:eastAsia="仿宋_GB2312" w:cs="Times New Roman"/>
                <w:b w:val="0"/>
                <w:bCs w:val="0"/>
                <w:color w:val="auto"/>
                <w:spacing w:val="-5"/>
                <w:kern w:val="2"/>
                <w:sz w:val="18"/>
                <w:szCs w:val="18"/>
                <w:shd w:val="clear" w:color="auto" w:fill="auto"/>
                <w:lang w:val="en-US" w:eastAsia="zh-CN" w:bidi="ar-SA"/>
              </w:rPr>
            </w:pPr>
            <w:r>
              <w:rPr>
                <w:rFonts w:hint="default" w:ascii="Times New Roman" w:hAnsi="Times New Roman" w:eastAsia="仿宋_GB2312" w:cs="Times New Roman"/>
                <w:b w:val="0"/>
                <w:bCs w:val="0"/>
                <w:color w:val="auto"/>
                <w:spacing w:val="-5"/>
                <w:sz w:val="18"/>
                <w:szCs w:val="18"/>
                <w:shd w:val="clear" w:color="auto" w:fill="auto"/>
              </w:rPr>
              <w:t>《四川省电力设施保护和供用电秩序维护条例》第五十一条：“电力设施产权人违反本条例规定，有下列情形之一的，由电力管理部门责令改正；情节严重的，并处以一万元以上五万元以下罚款：（一）未制定电力设施突发事件应急预案的；（二）未按规定对电力设施进行维护、检修而造成事故的。”</w:t>
            </w:r>
          </w:p>
        </w:tc>
      </w:tr>
    </w:tbl>
    <w:p>
      <w:pPr>
        <w:keepNext w:val="0"/>
        <w:keepLines w:val="0"/>
        <w:widowControl/>
        <w:suppressLineNumbers w:val="0"/>
        <w:pBdr>
          <w:top w:val="none" w:color="auto" w:sz="0" w:space="0"/>
          <w:left w:val="none" w:color="auto" w:sz="0" w:space="0"/>
          <w:bottom w:val="none" w:color="auto" w:sz="0" w:space="0"/>
          <w:right w:val="none" w:color="auto" w:sz="0" w:space="0"/>
        </w:pBdr>
        <w:suppressAutoHyphens/>
        <w:spacing w:line="420" w:lineRule="atLeast"/>
        <w:rPr>
          <w:rFonts w:ascii="sans-serif" w:hAnsi="sans-serif" w:eastAsia="sans-serif" w:cs="sans-serif"/>
          <w:b w:val="0"/>
          <w:bCs/>
          <w:color w:val="auto"/>
          <w:kern w:val="0"/>
          <w:szCs w:val="32"/>
          <w:u w:val="none"/>
          <w:shd w:val="clear" w:color="auto" w:fill="FFFFFF"/>
        </w:rPr>
      </w:pPr>
    </w:p>
    <w:sectPr>
      <w:pgSz w:w="16838" w:h="11906" w:orient="landscape"/>
      <w:pgMar w:top="1587" w:right="2098" w:bottom="1474" w:left="1531" w:header="851" w:footer="1559" w:gutter="0"/>
      <w:pgNumType w:start="2"/>
      <w:cols w:space="720" w:num="1"/>
      <w:rtlGutter w:val="1"/>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仿宋_GB2312">
    <w:panose1 w:val="02010609030101010101"/>
    <w:charset w:val="86"/>
    <w:family w:val="modern"/>
    <w:pitch w:val="default"/>
    <w:sig w:usb0="00000001" w:usb1="080E0000" w:usb2="00000000" w:usb3="00000000" w:csb0="00040000" w:csb1="00000000"/>
  </w:font>
  <w:font w:name="Luxi Sans">
    <w:altName w:val="Arial"/>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61007A87" w:usb1="80000000" w:usb2="00000008" w:usb3="00000000" w:csb0="200101FF" w:csb1="2028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微软雅黑">
    <w:altName w:val="黑体"/>
    <w:panose1 w:val="00000000000000000000"/>
    <w:charset w:val="00"/>
    <w:family w:val="auto"/>
    <w:pitch w:val="default"/>
    <w:sig w:usb0="00000000" w:usb1="00000000" w:usb2="00000000" w:usb3="00000000" w:csb0="00000000" w:csb1="00000000"/>
  </w:font>
  <w:font w:name="SimSun">
    <w:panose1 w:val="02010600030101010101"/>
    <w:charset w:val="86"/>
    <w:family w:val="auto"/>
    <w:pitch w:val="default"/>
    <w:sig w:usb0="00000003" w:usb1="288F0000" w:usb2="00000006" w:usb3="00000000" w:csb0="00040001" w:csb1="00000000"/>
  </w:font>
  <w:font w:name="sans-serif">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622300" cy="230505"/>
              <wp:effectExtent l="0" t="0" r="0" b="0"/>
              <wp:wrapNone/>
              <wp:docPr id="46" name="文本框 16"/>
              <wp:cNvGraphicFramePr/>
              <a:graphic xmlns:a="http://schemas.openxmlformats.org/drawingml/2006/main">
                <a:graphicData uri="http://schemas.microsoft.com/office/word/2010/wordprocessingShape">
                  <wps:wsp>
                    <wps:cNvSpPr/>
                    <wps:spPr>
                      <a:xfrm>
                        <a:off x="0" y="0"/>
                        <a:ext cx="622300" cy="230251"/>
                      </a:xfrm>
                      <a:prstGeom prst="rect">
                        <a:avLst/>
                      </a:prstGeom>
                      <a:noFill/>
                      <a:ln w="9525" cap="flat" cmpd="sng">
                        <a:noFill/>
                        <a:prstDash val="solid"/>
                        <a:round/>
                      </a:ln>
                    </wps:spPr>
                    <wps:txbx>
                      <w:txbxContent>
                        <w:p>
                          <w:pPr>
                            <w:pStyle w:val="8"/>
                            <w:rPr>
                              <w:rFonts w:hint="eastAsia"/>
                              <w:lang w:eastAsia="zh-CN"/>
                            </w:rPr>
                          </w:pPr>
                          <w:r>
                            <w:rPr>
                              <w:rFonts w:hint="eastAsia" w:ascii="宋体" w:hAnsi="宋体" w:cs="宋体"/>
                              <w:sz w:val="28"/>
                              <w:szCs w:val="28"/>
                              <w:lang w:eastAsia="zh-CN"/>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55</w:t>
                          </w:r>
                          <w:r>
                            <w:rPr>
                              <w:rFonts w:hint="eastAsia" w:ascii="宋体" w:hAnsi="宋体" w:cs="宋体"/>
                              <w:sz w:val="28"/>
                              <w:szCs w:val="28"/>
                            </w:rPr>
                            <w:fldChar w:fldCharType="end"/>
                          </w:r>
                          <w:r>
                            <w:rPr>
                              <w:rFonts w:hint="eastAsia" w:ascii="宋体" w:hAnsi="宋体" w:cs="宋体"/>
                              <w:sz w:val="28"/>
                              <w:szCs w:val="28"/>
                              <w:lang w:eastAsia="zh-CN"/>
                            </w:rPr>
                            <w:t xml:space="preserve"> —</w:t>
                          </w:r>
                        </w:p>
                      </w:txbxContent>
                    </wps:txbx>
                    <wps:bodyPr vert="horz" wrap="none" lIns="0" tIns="0" rIns="0" bIns="0" anchor="t" anchorCtr="0" upright="0">
                      <a:spAutoFit/>
                    </wps:bodyPr>
                  </wps:wsp>
                </a:graphicData>
              </a:graphic>
            </wp:anchor>
          </w:drawing>
        </mc:Choice>
        <mc:Fallback>
          <w:pict>
            <v:rect id="文本框 16" o:spid="_x0000_s1026" o:spt="1" style="position:absolute;left:0pt;margin-top:0pt;height:18.15pt;width:49pt;mso-position-horizontal:outside;mso-position-horizontal-relative:margin;mso-wrap-style:none;z-index:251659264;mso-width-relative:page;mso-height-relative:page;" filled="f" stroked="f" coordsize="21600,21600" o:gfxdata="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BYAAABkcnMvUEsBAhQAFAAAAAgAh07iQH5yE/DRAAAAAwEAAA8AAAAAAAAA&#10;AQAgAAAAOAAAAGRycy9kb3ducmV2LnhtbFBLAQIUABQAAAAIAIdO4kDlSfVNAgIAAPYDAAAOAAAA&#10;AAAAAAEAIAAAADYBAABkcnMvZTJvRG9jLnhtbFBLBQYAAAAABgAGAFkBAACqBQAAAAA=&#10;">
              <v:fill on="f" focussize="0,0"/>
              <v:stroke on="f" joinstyle="round"/>
              <v:imagedata o:title=""/>
              <o:lock v:ext="edit" aspectratio="f"/>
              <v:textbox inset="0mm,0mm,0mm,0mm" style="mso-fit-shape-to-text:t;">
                <w:txbxContent>
                  <w:p>
                    <w:pPr>
                      <w:pStyle w:val="8"/>
                      <w:rPr>
                        <w:rFonts w:hint="eastAsia"/>
                        <w:lang w:eastAsia="zh-CN"/>
                      </w:rPr>
                    </w:pPr>
                    <w:r>
                      <w:rPr>
                        <w:rFonts w:hint="eastAsia" w:ascii="宋体" w:hAnsi="宋体" w:cs="宋体"/>
                        <w:sz w:val="28"/>
                        <w:szCs w:val="28"/>
                        <w:lang w:eastAsia="zh-CN"/>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55</w:t>
                    </w:r>
                    <w:r>
                      <w:rPr>
                        <w:rFonts w:hint="eastAsia" w:ascii="宋体" w:hAnsi="宋体" w:cs="宋体"/>
                        <w:sz w:val="28"/>
                        <w:szCs w:val="28"/>
                      </w:rPr>
                      <w:fldChar w:fldCharType="end"/>
                    </w:r>
                    <w:r>
                      <w:rPr>
                        <w:rFonts w:hint="eastAsia" w:ascii="宋体" w:hAnsi="宋体" w:cs="宋体"/>
                        <w:sz w:val="28"/>
                        <w:szCs w:val="28"/>
                        <w:lang w:eastAsia="zh-CN"/>
                      </w:rPr>
                      <w:t xml:space="preserve"> —</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12724"/>
      <w:rPr>
        <w:rFonts w:ascii="SimSun" w:hAnsi="SimSun" w:eastAsia="SimSun" w:cs="SimSun"/>
        <w:sz w:val="32"/>
        <w:szCs w:val="32"/>
      </w:rPr>
    </w:pPr>
    <w:r>
      <w:rPr>
        <w:rFonts w:ascii="SimSun" w:hAnsi="SimSun" w:eastAsia="SimSun" w:cs="SimSun"/>
        <w:spacing w:val="-4"/>
        <w:sz w:val="32"/>
        <w:szCs w:val="32"/>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5" w:lineRule="auto"/>
      <w:ind w:left="12714"/>
      <w:rPr>
        <w:rFonts w:ascii="SimSun" w:hAnsi="SimSun" w:eastAsia="SimSun" w:cs="SimSun"/>
        <w:sz w:val="32"/>
        <w:szCs w:val="32"/>
      </w:rPr>
    </w:pPr>
    <w:r>
      <w:rPr>
        <w:rFonts w:ascii="SimSun" w:hAnsi="SimSun" w:eastAsia="SimSun" w:cs="SimSun"/>
        <w:spacing w:val="-4"/>
        <w:sz w:val="32"/>
        <w:szCs w:val="32"/>
      </w:rPr>
      <w:t>—5—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6" w:lineRule="auto"/>
      <w:ind w:left="54"/>
      <w:rPr>
        <w:rFonts w:ascii="SimSun" w:hAnsi="SimSun" w:eastAsia="SimSun" w:cs="SimSun"/>
        <w:sz w:val="30"/>
        <w:szCs w:val="30"/>
      </w:rPr>
    </w:pPr>
    <w:r>
      <w:rPr>
        <w:rFonts w:ascii="SimSun" w:hAnsi="SimSun" w:eastAsia="SimSun" w:cs="SimSun"/>
        <w:spacing w:val="-4"/>
        <w:sz w:val="30"/>
        <w:szCs w:val="30"/>
      </w:rPr>
      <w:t>—6—</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7D4DC4"/>
    <w:multiLevelType w:val="singleLevel"/>
    <w:tmpl w:val="D47D4DC4"/>
    <w:lvl w:ilvl="0" w:tentative="0">
      <w:start w:val="1"/>
      <w:numFmt w:val="decimal"/>
      <w:suff w:val="nothing"/>
      <w:lvlText w:val="%1、"/>
      <w:lvlJc w:val="left"/>
    </w:lvl>
  </w:abstractNum>
  <w:abstractNum w:abstractNumId="1">
    <w:nsid w:val="FCDC2C6D"/>
    <w:multiLevelType w:val="singleLevel"/>
    <w:tmpl w:val="FCDC2C6D"/>
    <w:lvl w:ilvl="0" w:tentative="0">
      <w:start w:val="1"/>
      <w:numFmt w:val="chineseCounting"/>
      <w:suff w:val="nothing"/>
      <w:lvlText w:val="（%1）"/>
      <w:lvlJc w:val="left"/>
      <w:rPr>
        <w:rFonts w:hint="eastAsia"/>
      </w:rPr>
    </w:lvl>
  </w:abstractNum>
  <w:abstractNum w:abstractNumId="2">
    <w:nsid w:val="1C1D4656"/>
    <w:multiLevelType w:val="multilevel"/>
    <w:tmpl w:val="1C1D4656"/>
    <w:lvl w:ilvl="0" w:tentative="0">
      <w:start w:val="1"/>
      <w:numFmt w:val="decimal"/>
      <w:lvlText w:val="%1"/>
      <w:lvlJc w:val="left"/>
      <w:pPr>
        <w:tabs>
          <w:tab w:val="left" w:pos="0"/>
        </w:tabs>
        <w:ind w:left="420" w:hanging="420"/>
      </w:pPr>
      <w:rPr>
        <w:rFonts w:hint="eastAsia"/>
        <w:b w:val="0"/>
        <w:color w:val="000000"/>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
  <w:bordersDoNotSurroundHeader w:val="0"/>
  <w:bordersDoNotSurroundFooter w:val="0"/>
  <w:documentProtection w:edit="readOnly"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
  <w:docVars>
    <w:docVar w:name="commondata" w:val="eyJoZGlkIjoiNjM0NjAxODZjOWE0OTJiNzY5YmM0NTIyMWMxNDQ0ZDMifQ=="/>
  </w:docVars>
  <w:rsids>
    <w:rsidRoot w:val="00000000"/>
    <w:rsid w:val="39BE7F49"/>
    <w:rsid w:val="3BE2D35B"/>
    <w:rsid w:val="3E7F11BC"/>
    <w:rsid w:val="3FDF5B67"/>
    <w:rsid w:val="59E7FF29"/>
    <w:rsid w:val="6FE36958"/>
    <w:rsid w:val="7BCA8A81"/>
    <w:rsid w:val="7E7F0EEE"/>
    <w:rsid w:val="BE5F7FC7"/>
    <w:rsid w:val="CFBD5A7E"/>
    <w:rsid w:val="DEFDB22B"/>
    <w:rsid w:val="EFDD8588"/>
    <w:rsid w:val="EFFFF254"/>
    <w:rsid w:val="FE7E37C0"/>
    <w:rsid w:val="FE978196"/>
    <w:rsid w:val="FFFBE4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ascii="宋体" w:eastAsia="宋体" w:cs="宋体"/>
      <w:b/>
      <w:kern w:val="44"/>
      <w:sz w:val="48"/>
      <w:szCs w:val="48"/>
      <w:lang w:val="en-US" w:eastAsia="zh-CN"/>
    </w:rPr>
  </w:style>
  <w:style w:type="paragraph" w:styleId="4">
    <w:name w:val="heading 2"/>
    <w:basedOn w:val="1"/>
    <w:next w:val="1"/>
    <w:qFormat/>
    <w:uiPriority w:val="0"/>
    <w:pPr>
      <w:keepNext/>
      <w:keepLines/>
      <w:widowControl w:val="0"/>
      <w:spacing w:before="260" w:after="260" w:line="415" w:lineRule="auto"/>
      <w:outlineLvl w:val="1"/>
    </w:pPr>
    <w:rPr>
      <w:rFonts w:ascii="Luxi Sans" w:hAnsi="Luxi Sans" w:eastAsia="黑体"/>
      <w:b/>
      <w:sz w:val="32"/>
    </w:rPr>
  </w:style>
  <w:style w:type="paragraph" w:styleId="5">
    <w:name w:val="heading 3"/>
    <w:basedOn w:val="1"/>
    <w:next w:val="1"/>
    <w:qFormat/>
    <w:uiPriority w:val="0"/>
    <w:pPr>
      <w:keepNext/>
      <w:keepLines/>
      <w:widowControl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Salutation"/>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6">
    <w:name w:val="annotation text"/>
    <w:basedOn w:val="1"/>
    <w:qFormat/>
    <w:uiPriority w:val="0"/>
    <w:pPr>
      <w:jc w:val="left"/>
    </w:pPr>
  </w:style>
  <w:style w:type="paragraph" w:styleId="7">
    <w:name w:val="Body Text Indent"/>
    <w:basedOn w:val="1"/>
    <w:qFormat/>
    <w:uiPriority w:val="0"/>
    <w:pPr>
      <w:spacing w:line="560" w:lineRule="exact"/>
      <w:ind w:right="-25" w:firstLine="630"/>
    </w:pPr>
    <w:rPr>
      <w:rFonts w:ascii="仿宋_GB2312" w:eastAsia="仿宋_GB2312" w:cs="Times New Roman"/>
      <w:sz w:val="32"/>
      <w:szCs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widowControl w:val="0"/>
      <w:jc w:val="left"/>
    </w:pPr>
    <w:rPr>
      <w:rFonts w:ascii="Calibri" w:hAnsi="Calibri" w:eastAsia="宋体" w:cs="Times New Roman"/>
      <w:kern w:val="0"/>
      <w:sz w:val="24"/>
      <w:szCs w:val="24"/>
      <w:lang w:val="en-US" w:eastAsia="zh-CN" w:bidi="ar-SA"/>
    </w:rPr>
  </w:style>
  <w:style w:type="paragraph" w:styleId="11">
    <w:name w:val="Body Text First Indent 2"/>
    <w:basedOn w:val="7"/>
    <w:qFormat/>
    <w:uiPriority w:val="0"/>
    <w:pPr>
      <w:spacing w:after="0"/>
      <w:ind w:firstLine="200" w:firstLineChars="200"/>
    </w:pPr>
  </w:style>
  <w:style w:type="character" w:styleId="14">
    <w:name w:val="Strong"/>
    <w:basedOn w:val="13"/>
    <w:qFormat/>
    <w:uiPriority w:val="0"/>
    <w:rPr>
      <w:b/>
    </w:rPr>
  </w:style>
  <w:style w:type="character" w:styleId="15">
    <w:name w:val="FollowedHyperlink"/>
    <w:basedOn w:val="13"/>
    <w:qFormat/>
    <w:uiPriority w:val="0"/>
    <w:rPr>
      <w:color w:val="800080"/>
      <w:u w:val="none"/>
    </w:rPr>
  </w:style>
  <w:style w:type="character" w:styleId="16">
    <w:name w:val="Hyperlink"/>
    <w:basedOn w:val="13"/>
    <w:qFormat/>
    <w:uiPriority w:val="0"/>
    <w:rPr>
      <w:color w:val="0000FF"/>
      <w:u w:val="none"/>
    </w:rPr>
  </w:style>
  <w:style w:type="character" w:customStyle="1" w:styleId="17">
    <w:name w:val="font01"/>
    <w:qFormat/>
    <w:uiPriority w:val="0"/>
    <w:rPr>
      <w:rFonts w:ascii="Tahoma" w:hAnsi="Tahoma" w:eastAsia="Tahoma" w:cs="Tahoma"/>
      <w:color w:val="000000"/>
      <w:sz w:val="22"/>
      <w:szCs w:val="22"/>
      <w:u w:val="none"/>
    </w:rPr>
  </w:style>
  <w:style w:type="character" w:customStyle="1" w:styleId="18">
    <w:name w:val="font11"/>
    <w:qFormat/>
    <w:uiPriority w:val="0"/>
    <w:rPr>
      <w:rFonts w:ascii="仿宋_GB2312" w:eastAsia="仿宋_GB2312" w:cs="仿宋_GB2312"/>
      <w:color w:val="000000"/>
      <w:sz w:val="22"/>
      <w:szCs w:val="22"/>
      <w:u w:val="none"/>
    </w:rPr>
  </w:style>
  <w:style w:type="character" w:customStyle="1" w:styleId="19">
    <w:name w:val="17"/>
    <w:basedOn w:val="13"/>
    <w:qFormat/>
    <w:uiPriority w:val="0"/>
    <w:rPr>
      <w:rFonts w:ascii="Times New Roman" w:hAnsi="Times New Roman" w:eastAsia="楷体_GB2312" w:cs="Times New Roman"/>
      <w:sz w:val="28"/>
      <w:szCs w:val="28"/>
    </w:rPr>
  </w:style>
  <w:style w:type="paragraph" w:customStyle="1" w:styleId="20">
    <w:name w:val="_Style 18"/>
    <w:basedOn w:val="1"/>
    <w:next w:val="1"/>
    <w:qFormat/>
    <w:uiPriority w:val="0"/>
    <w:pPr>
      <w:pBdr>
        <w:bottom w:val="single" w:color="auto" w:sz="6" w:space="1"/>
      </w:pBdr>
      <w:jc w:val="center"/>
    </w:pPr>
    <w:rPr>
      <w:rFonts w:ascii="Arial" w:hAnsi="Arial" w:eastAsia="宋体"/>
      <w:vanish/>
      <w:sz w:val="16"/>
    </w:rPr>
  </w:style>
  <w:style w:type="paragraph" w:customStyle="1" w:styleId="21">
    <w:name w:val="_Style 19"/>
    <w:basedOn w:val="1"/>
    <w:next w:val="1"/>
    <w:qFormat/>
    <w:uiPriority w:val="0"/>
    <w:pPr>
      <w:pBdr>
        <w:top w:val="single" w:color="auto" w:sz="6" w:space="1"/>
      </w:pBdr>
      <w:jc w:val="center"/>
    </w:pPr>
    <w:rPr>
      <w:rFonts w:ascii="Arial" w:hAnsi="Arial" w:eastAsia="宋体"/>
      <w:vanish/>
      <w:sz w:val="16"/>
    </w:rPr>
  </w:style>
  <w:style w:type="character" w:customStyle="1" w:styleId="22">
    <w:name w:val="font51"/>
    <w:qFormat/>
    <w:uiPriority w:val="0"/>
    <w:rPr>
      <w:rFonts w:ascii="仿宋_GB2312" w:eastAsia="仿宋_GB2312" w:cs="仿宋_GB2312"/>
      <w:color w:val="000000"/>
      <w:sz w:val="28"/>
      <w:szCs w:val="28"/>
      <w:u w:val="none"/>
    </w:rPr>
  </w:style>
  <w:style w:type="character" w:customStyle="1" w:styleId="23">
    <w:name w:val="font31"/>
    <w:basedOn w:val="13"/>
    <w:qFormat/>
    <w:uiPriority w:val="0"/>
    <w:rPr>
      <w:rFonts w:hint="eastAsia" w:ascii="宋体" w:hAnsi="宋体" w:eastAsia="宋体" w:cs="宋体"/>
      <w:color w:val="000000"/>
      <w:sz w:val="22"/>
      <w:szCs w:val="22"/>
      <w:u w:val="none"/>
    </w:rPr>
  </w:style>
  <w:style w:type="table" w:customStyle="1" w:styleId="24">
    <w:name w:val="Table Normal"/>
    <w:semiHidden/>
    <w:unhideWhenUsed/>
    <w:qFormat/>
    <w:uiPriority w:val="0"/>
    <w:tblPr>
      <w:tblCellMar>
        <w:top w:w="0" w:type="dxa"/>
        <w:left w:w="0" w:type="dxa"/>
        <w:bottom w:w="0" w:type="dxa"/>
        <w:right w:w="0" w:type="dxa"/>
      </w:tblCellMar>
    </w:tblPr>
  </w:style>
  <w:style w:type="paragraph" w:customStyle="1" w:styleId="25">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35</Pages>
  <Words>8993</Words>
  <Characters>10378</Characters>
  <Lines>1552</Lines>
  <Paragraphs>1109</Paragraphs>
  <TotalTime>51</TotalTime>
  <ScaleCrop>false</ScaleCrop>
  <LinksUpToDate>false</LinksUpToDate>
  <CharactersWithSpaces>10701</CharactersWithSpaces>
  <Application>WPS Office_12.8.2.1112_F1E327BC-269C-435d-A152-05C5408002CA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2020-05-21T01:41:00Z</dcterms:created>
  <dc:creator>lenovo</dc:creator>
  <cp:lastModifiedBy>user</cp:lastModifiedBy>
  <dcterms:modified xsi:type="dcterms:W3CDTF">2024-08-20T15:51:45Z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2052-12.8.2.1112</vt:lpwstr>
  </property>
  <property fmtid="{D5CDD505-2E9C-101B-9397-08002B2CF9AE}" pid="3" name="ICV">
    <vt:lpwstr>5D9689FFDA24B4B75A2B88643C99A6CA</vt:lpwstr>
  </property>
</Properties>
</file>