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lang w:bidi="ar-SA"/>
        </w:rPr>
        <w:t>广元仲裁委员会</w:t>
      </w:r>
      <w:r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lang w:eastAsia="zh-CN" w:bidi="ar-SA"/>
        </w:rPr>
        <w:t>调仲衔接</w:t>
      </w:r>
      <w:r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lang w:bidi="ar-SA"/>
        </w:rPr>
        <w:t>收费标准</w:t>
      </w:r>
    </w:p>
    <w:bookmarkEnd w:id="0"/>
    <w:p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  <w:t>为坚持和发扬新时代枫桥经验，持续推进矛盾纠纷多元化解，推动《广元市调仲衔接制度》落地落实，提升仲裁化解矛盾纠纷，维护社会稳定的效能，多渠道提高调（和）解协议履行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能力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  <w:t>，结合广元实际，制定调（和）解协议申请仲裁调解书收费标准如下：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vertAlign w:val="baseline"/>
          <w:lang w:val="en-US" w:eastAsia="zh-CN" w:bidi="ar-SA"/>
        </w:rPr>
        <w:t>调仲衔接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vertAlign w:val="baseline"/>
          <w:lang w:eastAsia="zh-CN" w:bidi="ar-SA"/>
        </w:rPr>
        <w:t>仲裁案件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vertAlign w:val="baseline"/>
          <w:lang w:val="en-US" w:eastAsia="zh-CN" w:bidi="ar-SA"/>
        </w:rPr>
        <w:t>收费标准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vertAlign w:val="baseline"/>
          <w:lang w:eastAsia="zh-CN" w:bidi="ar-SA"/>
        </w:rPr>
        <w:t>（人民币）</w:t>
      </w:r>
    </w:p>
    <w:tbl>
      <w:tblPr>
        <w:tblStyle w:val="7"/>
        <w:tblW w:w="996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8"/>
        <w:gridCol w:w="4138"/>
        <w:gridCol w:w="1837"/>
        <w:gridCol w:w="1620"/>
      </w:tblGrid>
      <w:tr>
        <w:trPr>
          <w:trHeight w:val="431" w:hRule="atLeast"/>
          <w:jc w:val="center"/>
        </w:trPr>
        <w:tc>
          <w:tcPr>
            <w:tcW w:w="23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调（和）解协议类型</w:t>
            </w:r>
          </w:p>
        </w:tc>
        <w:tc>
          <w:tcPr>
            <w:tcW w:w="5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计算基数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收费标准</w:t>
            </w:r>
          </w:p>
        </w:tc>
      </w:tr>
      <w:tr>
        <w:trPr>
          <w:trHeight w:val="617" w:hRule="atLeast"/>
          <w:jc w:val="center"/>
        </w:trPr>
        <w:tc>
          <w:tcPr>
            <w:tcW w:w="23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仲裁案件受理费*48%</w:t>
            </w:r>
          </w:p>
        </w:tc>
        <w:tc>
          <w:tcPr>
            <w:tcW w:w="1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仲裁案件处理费</w:t>
            </w: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401" w:hRule="atLeast"/>
          <w:jc w:val="center"/>
        </w:trPr>
        <w:tc>
          <w:tcPr>
            <w:tcW w:w="23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1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B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A+B</w:t>
            </w:r>
          </w:p>
        </w:tc>
      </w:tr>
      <w:tr>
        <w:trPr>
          <w:trHeight w:val="510" w:hRule="atLeast"/>
          <w:jc w:val="center"/>
        </w:trPr>
        <w:tc>
          <w:tcPr>
            <w:tcW w:w="236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eastAsia="zh-CN"/>
              </w:rPr>
              <w:t>协议金额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1000元以下</w:t>
            </w:r>
          </w:p>
        </w:tc>
        <w:tc>
          <w:tcPr>
            <w:tcW w:w="41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8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0*48%=38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元</w:t>
            </w:r>
          </w:p>
        </w:tc>
        <w:tc>
          <w:tcPr>
            <w:tcW w:w="183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元</w:t>
            </w:r>
          </w:p>
        </w:tc>
        <w:tc>
          <w:tcPr>
            <w:tcW w:w="162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188元</w:t>
            </w:r>
          </w:p>
        </w:tc>
      </w:tr>
      <w:tr>
        <w:trPr>
          <w:trHeight w:val="510" w:hRule="atLeast"/>
          <w:jc w:val="center"/>
        </w:trPr>
        <w:tc>
          <w:tcPr>
            <w:tcW w:w="2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1001元—50000元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80元+（x－1000）×4%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]*48% 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元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1"/>
                <w:szCs w:val="21"/>
              </w:rPr>
              <w:t>省内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按受理费金额的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15%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计收；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1"/>
                <w:szCs w:val="21"/>
              </w:rPr>
              <w:t>省外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按受理费金额的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/>
              </w:rPr>
              <w:t>%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计收；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1"/>
                <w:szCs w:val="21"/>
              </w:rPr>
              <w:t>涉外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按受理费金额的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/>
              </w:rPr>
              <w:t>%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计收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处理费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1"/>
                <w:szCs w:val="21"/>
              </w:rPr>
              <w:t>不足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，按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元计收。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A+B</w:t>
            </w:r>
          </w:p>
        </w:tc>
      </w:tr>
      <w:tr>
        <w:trPr>
          <w:trHeight w:val="510" w:hRule="atLeast"/>
          <w:jc w:val="center"/>
        </w:trPr>
        <w:tc>
          <w:tcPr>
            <w:tcW w:w="2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50001元—100000元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2040元+（x－50000）×3%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]*48%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元</w:t>
            </w:r>
          </w:p>
        </w:tc>
        <w:tc>
          <w:tcPr>
            <w:tcW w:w="1837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100001元—200000元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3540元+（x－100000）×2%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]*48% 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元</w:t>
            </w:r>
          </w:p>
        </w:tc>
        <w:tc>
          <w:tcPr>
            <w:tcW w:w="1837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200001元—500000元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5540元+（x－200000）×1%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]*48% 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元</w:t>
            </w:r>
          </w:p>
        </w:tc>
        <w:tc>
          <w:tcPr>
            <w:tcW w:w="1837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500001元—1000000元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8540元+（x－500000）×0.5%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]*48% 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元</w:t>
            </w:r>
          </w:p>
        </w:tc>
        <w:tc>
          <w:tcPr>
            <w:tcW w:w="1837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1000001元以上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11040元+（x－1000000）×0.25%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]*48% </w:t>
            </w: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  <w:t>元</w:t>
            </w:r>
          </w:p>
        </w:tc>
        <w:tc>
          <w:tcPr>
            <w:tcW w:w="18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1086" w:hRule="atLeast"/>
          <w:jc w:val="center"/>
        </w:trPr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eastAsia="zh-CN"/>
              </w:rPr>
              <w:t>协议不涉金额案件</w:t>
            </w:r>
          </w:p>
        </w:tc>
        <w:tc>
          <w:tcPr>
            <w:tcW w:w="4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800*48%=384元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省内：150元；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省外：192元；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涉外：230元。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省内：534元；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省外：579元；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涉外：614元。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firstLine="481" w:firstLineChars="200"/>
        <w:textAlignment w:val="auto"/>
        <w:rPr>
          <w:rFonts w:hint="eastAsia" w:ascii="仿宋_GB2312" w:hAnsi="Calibri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Calibri" w:eastAsia="仿宋_GB2312" w:cs="仿宋_GB2312"/>
          <w:b/>
          <w:bCs/>
          <w:color w:val="auto"/>
          <w:sz w:val="24"/>
          <w:szCs w:val="24"/>
          <w:lang w:val="en-US" w:eastAsia="zh-CN"/>
        </w:rPr>
        <w:t>备注：</w:t>
      </w:r>
      <w:r>
        <w:rPr>
          <w:rFonts w:hint="eastAsia" w:ascii="仿宋_GB2312" w:hAnsi="Calibri" w:eastAsia="仿宋_GB2312" w:cs="仿宋_GB2312"/>
          <w:color w:val="auto"/>
          <w:sz w:val="24"/>
          <w:szCs w:val="24"/>
          <w:shd w:val="clear" w:color="auto" w:fill="auto"/>
        </w:rPr>
        <w:t>因小数位四舍五入顺序的不同，以上计算结果与本会立案的计算结果可能略有差异，以立案计算为准</w:t>
      </w:r>
      <w:r>
        <w:rPr>
          <w:rFonts w:hint="eastAsia" w:ascii="仿宋_GB2312" w:eastAsia="仿宋_GB2312" w:cs="仿宋_GB2312"/>
          <w:color w:val="auto"/>
          <w:sz w:val="24"/>
          <w:szCs w:val="24"/>
          <w:shd w:val="clear" w:color="auto" w:fill="auto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调仲衔接案件仲裁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u w:val="none"/>
          <w:lang w:bidi="ar-SA"/>
        </w:rPr>
        <w:t>费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u w:val="none"/>
          <w:lang w:eastAsia="zh-CN" w:bidi="ar-SA"/>
        </w:rPr>
        <w:t>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按照本会制定的《广元仲裁委员会收费标准》的48%标准收取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。由提出申请的一方当事人先行交纳，双方各自承担比例由当事人自行协商。期限内未交纳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仲裁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u w:val="none"/>
          <w:lang w:bidi="ar-SA"/>
        </w:rPr>
        <w:t>费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u w:val="none"/>
          <w:lang w:eastAsia="zh-CN" w:bidi="ar-SA"/>
        </w:rPr>
        <w:t>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的，视为撤回申请。</w:t>
      </w:r>
    </w:p>
    <w:p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1531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  <w:t>本收费标准自《广元市调仲衔接制度》施行之日起执行。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uCuwhwwEAAGsDAAAOAAAAZHJz&#10;L2Uyb0RvYy54bWytU0tu2zAQ3RfoHQjua8luYxiC6SBBkKJA0BZIewCaIi0C/GFIW/IFkht01U33&#10;PZfP0SFtOUWyC7IZzY9v5s2MlpeDNWQnIWrvGJ1OakqkE77VbsPozx+3HxaUxMRdy413ktG9jPRy&#10;9f7dsg+NnPnOm1YCQRAXmz4w2qUUmqqKopOWx4kP0mFQebA8oQmbqgXeI7o11ayu51XvoQ3ghYwR&#10;vTfHIF0VfKWkSN+UijIRwyj2loqEItdZVqslbzbAQ6fFqQ3+ii4s1w6LnqFueOJkC/oFlNUCfPQq&#10;TYS3lVdKC1k4IJtp/YzNfceDLFxwODGcxxTfDlZ83X0HoltGP80pcdzijg6/Hg+//x7+PBD04YD6&#10;EBvMuw+YmYZrPzCaYCvHUER/pj4osPmLpAim4LT35wnLIRGBzulitljUGBIYGw0sUT09DxDTZ+kt&#10;yQqjgCssk+W7u5iOqWNKrub8rTamrNE40jM6/3hRlwfnCIIbl3NlOYgTTGZ1bD1raVgPJ6pr3+6R&#10;aY9HwajDq6XEfHE483w/owKjsh6VbQC96bBjxU3MW+MIf7VN2F9pO1c5QiPdbOBGC/HT9eWT+d8u&#10;WU//yO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s0lY7tAAAAAFAQAADwAAAAAAAAABACAAAAA4&#10;AAAAZHJzL2Rvd25yZXYueG1sUEsBAhQAFAAAAAgAh07iQK4K7CHDAQAAawMAAA4AAAAAAAAAAQAg&#10;AAAANQEAAGRycy9lMm9Eb2MueG1sUEsFBgAAAAAGAAYAWQEAAG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D76E5"/>
    <w:rsid w:val="3F7D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2"/>
    <w:qFormat/>
    <w:uiPriority w:val="0"/>
    <w:pPr>
      <w:ind w:firstLine="630"/>
    </w:pPr>
    <w:rPr>
      <w:rFonts w:eastAsia="黑体"/>
      <w:sz w:val="32"/>
    </w:rPr>
  </w:style>
  <w:style w:type="paragraph" w:styleId="4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2026-01-04T15:15:00Z</dcterms:created>
  <dc:creator>刘寓熙　</dc:creator>
  <cp:lastModifiedBy>刘寓熙　</cp:lastModifiedBy>
  <dcterms:modified xsi:type="dcterms:W3CDTF">2026-01-04T15:16:16Z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