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7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18" w:lineRule="auto"/>
        <w:rPr>
          <w:rFonts w:ascii="Arial"/>
          <w:sz w:val="21"/>
        </w:rPr>
      </w:pPr>
    </w:p>
    <w:p>
      <w:pPr>
        <w:spacing w:before="74" w:line="219" w:lineRule="auto"/>
        <w:ind w:firstLine="2268" w:firstLineChars="500"/>
        <w:rPr>
          <w:rFonts w:hint="eastAsia" w:ascii="方正小标宋_GBK" w:hAnsi="方正小标宋_GBK" w:eastAsia="方正小标宋_GBK" w:cs="方正小标宋_GBK"/>
          <w:b/>
          <w:bCs/>
          <w:spacing w:val="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6"/>
          <w:sz w:val="44"/>
          <w:szCs w:val="44"/>
        </w:rPr>
        <w:t>广元市国动办2025年涉企行政执法检查计划</w:t>
      </w:r>
    </w:p>
    <w:p>
      <w:pPr>
        <w:spacing w:before="74" w:line="219" w:lineRule="auto"/>
        <w:ind w:firstLine="504" w:firstLineChars="200"/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24"/>
          <w:szCs w:val="24"/>
          <w:lang w:eastAsia="zh-CN"/>
        </w:rPr>
        <w:t>填报单位：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sz w:val="24"/>
          <w:szCs w:val="24"/>
        </w:rPr>
        <w:t>广元市国动办</w:t>
      </w:r>
    </w:p>
    <w:p>
      <w:pPr>
        <w:spacing w:line="180" w:lineRule="exact"/>
      </w:pPr>
    </w:p>
    <w:tbl>
      <w:tblPr>
        <w:tblStyle w:val="5"/>
        <w:tblpPr w:leftFromText="180" w:rightFromText="180" w:vertAnchor="text" w:horzAnchor="page" w:tblpX="1775" w:tblpY="13"/>
        <w:tblOverlap w:val="never"/>
        <w:tblW w:w="145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699"/>
        <w:gridCol w:w="1399"/>
        <w:gridCol w:w="1089"/>
        <w:gridCol w:w="869"/>
        <w:gridCol w:w="530"/>
        <w:gridCol w:w="789"/>
        <w:gridCol w:w="1199"/>
        <w:gridCol w:w="989"/>
        <w:gridCol w:w="1939"/>
        <w:gridCol w:w="1489"/>
        <w:gridCol w:w="20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85" w:type="dxa"/>
            <w:shd w:val="clear" w:color="auto" w:fill="FFFFFF" w:themeFill="background1"/>
            <w:vAlign w:val="top"/>
          </w:tcPr>
          <w:p>
            <w:pPr>
              <w:pStyle w:val="6"/>
              <w:spacing w:before="171" w:line="221" w:lineRule="auto"/>
              <w:ind w:right="20"/>
              <w:jc w:val="right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699" w:type="dxa"/>
            <w:shd w:val="clear" w:color="auto" w:fill="FFFFFF" w:themeFill="background1"/>
            <w:vAlign w:val="top"/>
          </w:tcPr>
          <w:p>
            <w:pPr>
              <w:pStyle w:val="6"/>
              <w:spacing w:before="173" w:line="219" w:lineRule="auto"/>
              <w:ind w:left="419"/>
            </w:pPr>
            <w:r>
              <w:rPr>
                <w:spacing w:val="3"/>
              </w:rPr>
              <w:t>检查事项</w:t>
            </w:r>
          </w:p>
        </w:tc>
        <w:tc>
          <w:tcPr>
            <w:tcW w:w="1399" w:type="dxa"/>
            <w:shd w:val="clear" w:color="auto" w:fill="FFFFFF" w:themeFill="background1"/>
            <w:vAlign w:val="top"/>
          </w:tcPr>
          <w:p>
            <w:pPr>
              <w:pStyle w:val="6"/>
              <w:spacing w:before="43" w:line="219" w:lineRule="auto"/>
              <w:ind w:left="481"/>
            </w:pPr>
            <w:r>
              <w:rPr>
                <w:spacing w:val="-3"/>
              </w:rPr>
              <w:t>检查</w:t>
            </w:r>
          </w:p>
          <w:p>
            <w:pPr>
              <w:pStyle w:val="6"/>
              <w:spacing w:before="10" w:line="203" w:lineRule="auto"/>
              <w:ind w:left="481"/>
            </w:pPr>
            <w:r>
              <w:rPr>
                <w:spacing w:val="-2"/>
              </w:rPr>
              <w:t>对象</w:t>
            </w:r>
          </w:p>
        </w:tc>
        <w:tc>
          <w:tcPr>
            <w:tcW w:w="1089" w:type="dxa"/>
            <w:shd w:val="clear" w:color="auto" w:fill="FFFFFF" w:themeFill="background1"/>
            <w:vAlign w:val="top"/>
          </w:tcPr>
          <w:p>
            <w:pPr>
              <w:pStyle w:val="6"/>
              <w:spacing w:before="173" w:line="219" w:lineRule="auto"/>
              <w:ind w:left="111"/>
            </w:pPr>
            <w:r>
              <w:rPr>
                <w:spacing w:val="-2"/>
              </w:rPr>
              <w:t>检查频次</w:t>
            </w:r>
          </w:p>
        </w:tc>
        <w:tc>
          <w:tcPr>
            <w:tcW w:w="869" w:type="dxa"/>
            <w:shd w:val="clear" w:color="auto" w:fill="FFFFFF" w:themeFill="background1"/>
            <w:vAlign w:val="top"/>
          </w:tcPr>
          <w:p>
            <w:pPr>
              <w:pStyle w:val="6"/>
              <w:spacing w:before="173" w:line="219" w:lineRule="auto"/>
              <w:jc w:val="right"/>
            </w:pPr>
            <w:r>
              <w:rPr>
                <w:spacing w:val="4"/>
              </w:rPr>
              <w:t>检查比例</w:t>
            </w:r>
          </w:p>
        </w:tc>
        <w:tc>
          <w:tcPr>
            <w:tcW w:w="530" w:type="dxa"/>
            <w:shd w:val="clear" w:color="auto" w:fill="FFFFFF" w:themeFill="background1"/>
            <w:vAlign w:val="top"/>
          </w:tcPr>
          <w:p>
            <w:pPr>
              <w:pStyle w:val="6"/>
              <w:spacing w:before="13" w:line="224" w:lineRule="auto"/>
              <w:ind w:left="62" w:right="45" w:hanging="2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检查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789" w:type="dxa"/>
            <w:shd w:val="clear" w:color="auto" w:fill="FFFFFF" w:themeFill="background1"/>
            <w:vAlign w:val="top"/>
          </w:tcPr>
          <w:p>
            <w:pPr>
              <w:pStyle w:val="6"/>
              <w:spacing w:before="55" w:line="218" w:lineRule="auto"/>
              <w:ind w:left="173"/>
            </w:pPr>
            <w:r>
              <w:rPr>
                <w:spacing w:val="7"/>
              </w:rPr>
              <w:t>计划</w:t>
            </w:r>
          </w:p>
          <w:p>
            <w:pPr>
              <w:pStyle w:val="6"/>
              <w:spacing w:line="202" w:lineRule="auto"/>
              <w:ind w:left="173"/>
            </w:pPr>
            <w:r>
              <w:rPr>
                <w:spacing w:val="7"/>
              </w:rPr>
              <w:t>类型</w:t>
            </w:r>
          </w:p>
        </w:tc>
        <w:tc>
          <w:tcPr>
            <w:tcW w:w="1199" w:type="dxa"/>
            <w:shd w:val="clear" w:color="auto" w:fill="FFFFFF" w:themeFill="background1"/>
            <w:vAlign w:val="top"/>
          </w:tcPr>
          <w:p>
            <w:pPr>
              <w:pStyle w:val="6"/>
              <w:spacing w:before="42" w:line="216" w:lineRule="auto"/>
              <w:ind w:left="484" w:right="61" w:hanging="420"/>
            </w:pPr>
            <w:r>
              <w:rPr>
                <w:spacing w:val="2"/>
              </w:rPr>
              <w:t>检查完成时</w:t>
            </w:r>
            <w:r>
              <w:rPr>
                <w:spacing w:val="1"/>
              </w:rPr>
              <w:t xml:space="preserve"> </w:t>
            </w:r>
            <w:r>
              <w:t>限</w:t>
            </w:r>
          </w:p>
        </w:tc>
        <w:tc>
          <w:tcPr>
            <w:tcW w:w="989" w:type="dxa"/>
            <w:shd w:val="clear" w:color="auto" w:fill="FFFFFF" w:themeFill="background1"/>
            <w:vAlign w:val="top"/>
          </w:tcPr>
          <w:p>
            <w:pPr>
              <w:pStyle w:val="6"/>
              <w:spacing w:before="42" w:line="216" w:lineRule="auto"/>
              <w:ind w:left="314" w:right="22" w:hanging="189"/>
            </w:pPr>
            <w:r>
              <w:rPr>
                <w:spacing w:val="-3"/>
              </w:rPr>
              <w:t>牵头实施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部门</w:t>
            </w:r>
          </w:p>
        </w:tc>
        <w:tc>
          <w:tcPr>
            <w:tcW w:w="1939" w:type="dxa"/>
            <w:shd w:val="clear" w:color="auto" w:fill="FFFFFF" w:themeFill="background1"/>
            <w:vAlign w:val="top"/>
          </w:tcPr>
          <w:p>
            <w:pPr>
              <w:pStyle w:val="6"/>
              <w:spacing w:before="173" w:line="219" w:lineRule="auto"/>
              <w:ind w:left="337"/>
            </w:pPr>
            <w:r>
              <w:rPr>
                <w:spacing w:val="-2"/>
              </w:rPr>
              <w:t>检查事项内容</w:t>
            </w:r>
          </w:p>
        </w:tc>
        <w:tc>
          <w:tcPr>
            <w:tcW w:w="1489" w:type="dxa"/>
            <w:shd w:val="clear" w:color="auto" w:fill="FFFFFF" w:themeFill="background1"/>
            <w:vAlign w:val="top"/>
          </w:tcPr>
          <w:p>
            <w:pPr>
              <w:pStyle w:val="6"/>
              <w:spacing w:before="173" w:line="219" w:lineRule="auto"/>
              <w:ind w:left="317"/>
            </w:pPr>
            <w:r>
              <w:rPr>
                <w:spacing w:val="5"/>
              </w:rPr>
              <w:t>参与部门</w:t>
            </w:r>
          </w:p>
        </w:tc>
        <w:tc>
          <w:tcPr>
            <w:tcW w:w="2023" w:type="dxa"/>
            <w:shd w:val="clear" w:color="auto" w:fill="FFFFFF" w:themeFill="background1"/>
            <w:vAlign w:val="top"/>
          </w:tcPr>
          <w:p>
            <w:pPr>
              <w:pStyle w:val="6"/>
              <w:spacing w:before="173" w:line="219" w:lineRule="auto"/>
              <w:ind w:left="588"/>
            </w:pPr>
            <w:r>
              <w:rPr>
                <w:spacing w:val="2"/>
              </w:rPr>
              <w:t>参与部门事项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585" w:type="dxa"/>
            <w:shd w:val="clear" w:color="auto" w:fill="FFFFFF" w:themeFill="background1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41" w:lineRule="auto"/>
              <w:ind w:left="314"/>
            </w:pPr>
            <w:r>
              <w:t>1</w:t>
            </w:r>
          </w:p>
        </w:tc>
        <w:tc>
          <w:tcPr>
            <w:tcW w:w="1699" w:type="dxa"/>
            <w:shd w:val="clear" w:color="auto" w:fill="FFFFFF" w:themeFill="background1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99"/>
            </w:pPr>
            <w:r>
              <w:rPr>
                <w:spacing w:val="-1"/>
              </w:rPr>
              <w:t>对人防工程的建</w:t>
            </w:r>
          </w:p>
          <w:p>
            <w:pPr>
              <w:pStyle w:val="6"/>
              <w:spacing w:before="9" w:line="219" w:lineRule="auto"/>
              <w:jc w:val="right"/>
            </w:pPr>
            <w:r>
              <w:rPr>
                <w:spacing w:val="-1"/>
              </w:rPr>
              <w:t>设、维护管理进行</w:t>
            </w:r>
          </w:p>
          <w:p>
            <w:pPr>
              <w:pStyle w:val="6"/>
              <w:spacing w:before="50" w:line="219" w:lineRule="auto"/>
              <w:ind w:left="419"/>
            </w:pPr>
            <w:r>
              <w:rPr>
                <w:spacing w:val="-2"/>
              </w:rPr>
              <w:t>监督检查</w:t>
            </w:r>
          </w:p>
        </w:tc>
        <w:tc>
          <w:tcPr>
            <w:tcW w:w="1399" w:type="dxa"/>
            <w:shd w:val="clear" w:color="auto" w:fill="FFFFFF" w:themeFill="background1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0" w:lineRule="auto"/>
              <w:ind w:left="11" w:firstLine="49"/>
              <w:jc w:val="both"/>
            </w:pPr>
            <w:r>
              <w:rPr>
                <w:spacing w:val="2"/>
              </w:rPr>
              <w:t xml:space="preserve">人防工程维护 </w:t>
            </w:r>
            <w:r>
              <w:rPr>
                <w:spacing w:val="-15"/>
              </w:rPr>
              <w:t>管理单位</w:t>
            </w:r>
            <w:r>
              <w:rPr>
                <w:spacing w:val="-14"/>
              </w:rPr>
              <w:t>、在</w:t>
            </w:r>
            <w:r>
              <w:rPr>
                <w:spacing w:val="-10"/>
              </w:rPr>
              <w:t>建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人防工程单位</w:t>
            </w:r>
          </w:p>
        </w:tc>
        <w:tc>
          <w:tcPr>
            <w:tcW w:w="1089" w:type="dxa"/>
            <w:shd w:val="clear" w:color="auto" w:fill="FFFFFF" w:themeFill="background1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161"/>
            </w:pPr>
            <w:r>
              <w:rPr>
                <w:spacing w:val="3"/>
              </w:rPr>
              <w:t>全年1次</w:t>
            </w:r>
          </w:p>
        </w:tc>
        <w:tc>
          <w:tcPr>
            <w:tcW w:w="869" w:type="dxa"/>
            <w:shd w:val="clear" w:color="auto" w:fill="FFFFFF" w:themeFill="background1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212"/>
            </w:pPr>
            <w:r>
              <w:rPr>
                <w:spacing w:val="-5"/>
              </w:rPr>
              <w:t>100%</w:t>
            </w:r>
          </w:p>
        </w:tc>
        <w:tc>
          <w:tcPr>
            <w:tcW w:w="530" w:type="dxa"/>
            <w:shd w:val="clear" w:color="auto" w:fill="FFFFFF" w:themeFill="background1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30" w:lineRule="auto"/>
              <w:ind w:left="93" w:firstLine="9"/>
            </w:pPr>
            <w:r>
              <w:rPr>
                <w:spacing w:val="-2"/>
              </w:rPr>
              <w:t>现场</w:t>
            </w:r>
            <w:r>
              <w:t xml:space="preserve"> </w:t>
            </w:r>
            <w:r>
              <w:rPr>
                <w:spacing w:val="-7"/>
              </w:rPr>
              <w:t>检查</w:t>
            </w:r>
          </w:p>
        </w:tc>
        <w:tc>
          <w:tcPr>
            <w:tcW w:w="789" w:type="dxa"/>
            <w:shd w:val="clear" w:color="auto" w:fill="FFFFFF" w:themeFill="background1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73"/>
            </w:pPr>
            <w:r>
              <w:rPr>
                <w:spacing w:val="12"/>
              </w:rPr>
              <w:t>日常</w:t>
            </w:r>
          </w:p>
        </w:tc>
        <w:tc>
          <w:tcPr>
            <w:tcW w:w="1199" w:type="dxa"/>
            <w:shd w:val="clear" w:color="auto" w:fill="FFFFFF" w:themeFill="background1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64"/>
            </w:pPr>
            <w:r>
              <w:rPr>
                <w:spacing w:val="1"/>
              </w:rPr>
              <w:t>10月31日前</w:t>
            </w:r>
          </w:p>
        </w:tc>
        <w:tc>
          <w:tcPr>
            <w:tcW w:w="989" w:type="dxa"/>
            <w:shd w:val="clear" w:color="auto" w:fill="FFFFFF" w:themeFill="background1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jc w:val="right"/>
            </w:pPr>
            <w:r>
              <w:rPr>
                <w:spacing w:val="3"/>
              </w:rPr>
              <w:t>市国动办</w:t>
            </w:r>
          </w:p>
        </w:tc>
        <w:tc>
          <w:tcPr>
            <w:tcW w:w="1939" w:type="dxa"/>
            <w:shd w:val="clear" w:color="auto" w:fill="FFFFFF" w:themeFill="background1"/>
            <w:vAlign w:val="top"/>
          </w:tcPr>
          <w:p>
            <w:pPr>
              <w:pStyle w:val="6"/>
              <w:spacing w:before="252" w:line="226" w:lineRule="auto"/>
              <w:ind w:left="16"/>
              <w:jc w:val="both"/>
            </w:pPr>
            <w:r>
              <w:rPr>
                <w:spacing w:val="2"/>
              </w:rPr>
              <w:t>对人防工程的建设、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维护管理、使用及相</w:t>
            </w:r>
            <w:r>
              <w:t xml:space="preserve"> </w:t>
            </w:r>
            <w:r>
              <w:rPr>
                <w:spacing w:val="-8"/>
              </w:rPr>
              <w:t>关人防设备设施等情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况进行检查</w:t>
            </w:r>
          </w:p>
        </w:tc>
        <w:tc>
          <w:tcPr>
            <w:tcW w:w="1489" w:type="dxa"/>
            <w:shd w:val="clear" w:color="auto" w:fill="FFFFFF" w:themeFill="background1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637"/>
            </w:pPr>
            <w:r>
              <w:t>无</w:t>
            </w:r>
          </w:p>
        </w:tc>
        <w:tc>
          <w:tcPr>
            <w:tcW w:w="2023" w:type="dxa"/>
            <w:shd w:val="clear" w:color="auto" w:fill="FFFFFF" w:themeFill="background1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0" w:lineRule="auto"/>
              <w:ind w:left="1038"/>
            </w:pPr>
            <w:r>
              <w:t>无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pgSz w:w="16840" w:h="11910"/>
      <w:pgMar w:top="2127" w:right="204" w:bottom="0" w:left="2025" w:header="165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81" w:line="224" w:lineRule="auto"/>
      <w:ind w:left="469"/>
      <w:rPr>
        <w:rFonts w:ascii="SimHei" w:hAnsi="SimHei" w:eastAsia="SimHei" w:cs="SimHei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FF2265"/>
    <w:rsid w:val="59EFC7D7"/>
    <w:rsid w:val="FEFDA2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2025-04-18T02:26:00Z</dcterms:created>
  <dc:creator>uos</dc:creator>
  <cp:lastModifiedBy>胡真琪</cp:lastModifiedBy>
  <dcterms:modified xsi:type="dcterms:W3CDTF">2025-04-17T13:13:54Z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2025-04-17T10:26:42Z</vt:filetime>
  </property>
  <property fmtid="{D5CDD505-2E9C-101B-9397-08002B2CF9AE}" pid="4" name="UsrData">
    <vt:lpwstr>680066de1087f5001fe4833ewl</vt:lpwstr>
  </property>
  <property fmtid="{D5CDD505-2E9C-101B-9397-08002B2CF9AE}" pid="5" name="KSOProductBuildVer">
    <vt:lpwstr>2052-11.8.2.1132</vt:lpwstr>
  </property>
  <property fmtid="{D5CDD505-2E9C-101B-9397-08002B2CF9AE}" pid="6" name="ICV">
    <vt:lpwstr>A0E3FA6C89F0C5F3128E00682722A123</vt:lpwstr>
  </property>
</Properties>
</file>