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76" w:lineRule="exact"/>
        <w:rPr>
          <w:rFonts w:hint="eastAsia" w:ascii="黑体" w:hAnsi="黑体" w:eastAsia="黑体"/>
          <w:b w:val="0"/>
          <w:color w:val="auto"/>
          <w:sz w:val="32"/>
          <w:szCs w:val="32"/>
        </w:rPr>
      </w:pPr>
    </w:p>
    <w:p>
      <w:pPr>
        <w:pStyle w:val="11"/>
        <w:spacing w:line="576" w:lineRule="exact"/>
        <w:rPr>
          <w:rFonts w:hint="eastAsia" w:ascii="黑体" w:hAnsi="黑体" w:eastAsia="黑体"/>
          <w:b w:val="0"/>
          <w:color w:val="auto"/>
          <w:sz w:val="32"/>
          <w:szCs w:val="32"/>
        </w:rPr>
      </w:pPr>
    </w:p>
    <w:p>
      <w:pPr>
        <w:pStyle w:val="11"/>
        <w:spacing w:line="576" w:lineRule="exact"/>
        <w:rPr>
          <w:rFonts w:hint="eastAsia" w:ascii="黑体" w:hAnsi="黑体" w:eastAsia="黑体"/>
          <w:b w:val="0"/>
          <w:color w:val="auto"/>
          <w:sz w:val="32"/>
          <w:szCs w:val="32"/>
        </w:rPr>
      </w:pPr>
    </w:p>
    <w:p>
      <w:pPr>
        <w:pStyle w:val="11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财政局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2025年涉企行政检查事项分类目录</w:t>
      </w:r>
    </w:p>
    <w:p>
      <w:pPr>
        <w:pStyle w:val="11"/>
        <w:spacing w:line="576" w:lineRule="exact"/>
        <w:ind w:firstLine="480" w:firstLineChars="200"/>
        <w:jc w:val="left"/>
        <w:rPr>
          <w:rFonts w:hint="eastAsia" w:ascii="方正小标宋_GBK" w:hAnsi="方正小标宋_GBK" w:eastAsia="方正小标宋_GBK" w:cs="方正小标宋_GBK"/>
          <w:b w:val="0"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color w:val="auto"/>
          <w:sz w:val="24"/>
          <w:szCs w:val="24"/>
          <w:lang w:eastAsia="zh-CN"/>
        </w:rPr>
        <w:t>填报单位：广元市财政局</w:t>
      </w:r>
    </w:p>
    <w:p>
      <w:pPr>
        <w:pStyle w:val="11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6"/>
        <w:tblW w:w="14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685"/>
        <w:gridCol w:w="1925"/>
        <w:gridCol w:w="1096"/>
        <w:gridCol w:w="890"/>
        <w:gridCol w:w="675"/>
        <w:gridCol w:w="1180"/>
        <w:gridCol w:w="1733"/>
        <w:gridCol w:w="1602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Header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对象及等级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  <w:t>检查事项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  <w:t>等级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检查方式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  <w:t>类型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牵头实施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检查事项内容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参与部门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综合参与部门事项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tblHeader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  <w:t>对国家机关、社会团体、企业事业组织和相关人员涉及财政、财务和会计等事项实施监督检查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0"/>
                <w:szCs w:val="20"/>
                <w:lang w:eastAsia="zh-CN" w:bidi="ar"/>
              </w:rPr>
              <w:t>广元市国有企业（根据省厅安排选取检查对象，目前无法确定）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现场检查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  <w:t>日常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市财政局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企业会计信息质量检查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无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地方金融组织合规性经营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检查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rPr>
                <w:rFonts w:hint="eastAsia" w:ascii="宋体" w:hAnsi="宋体" w:eastAsia="宋体" w:cs="宋体"/>
                <w:b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0"/>
                <w:szCs w:val="20"/>
                <w:lang w:bidi="ar"/>
              </w:rPr>
              <w:t>全市融资担保公司、小额贷款公司、典当行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现场检查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  <w:t>日常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市财政局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地方金融组织合规性经营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进行检查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无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无</w:t>
            </w:r>
          </w:p>
        </w:tc>
      </w:tr>
    </w:tbl>
    <w:p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020" w:right="680" w:bottom="102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7EFB5F86"/>
    <w:rsid w:val="E0BA0215"/>
    <w:rsid w:val="EFA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文泉驿微米黑" w:hAnsi="文泉驿微米黑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51A0229-DD7A-4BCE-A1ED-0E797CAA1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710</Characters>
  <Lines>0</Lines>
  <Paragraphs>5</Paragraphs>
  <TotalTime>0</TotalTime>
  <ScaleCrop>false</ScaleCrop>
  <LinksUpToDate>false</LinksUpToDate>
  <CharactersWithSpaces>947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2025-03-01T23:25:00Z</dcterms:created>
  <dc:creator>李莉</dc:creator>
  <cp:lastModifiedBy>胡真琪</cp:lastModifiedBy>
  <dcterms:modified xsi:type="dcterms:W3CDTF">2025-04-17T10:59:39Z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CCC4038477F3C7A1D188D267D4B2AE7C_43</vt:lpwstr>
  </property>
  <property fmtid="{D5CDD505-2E9C-101B-9397-08002B2CF9AE}" pid="4" name="KSOTemplateDocerSaveRecord">
    <vt:lpwstr>eyJoZGlkIjoiNjM0NjAxODZjOWE0OTJiNzY5YmM0NTIyMWMxNDQ0ZDMiLCJ1c2VySWQiOiIyNjgyNzQ0MTEifQ==</vt:lpwstr>
  </property>
</Properties>
</file>