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ind w:firstLine="880" w:firstLineChars="2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广元市司法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局行政审批决定一览表</w:t>
      </w:r>
    </w:p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8月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4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0"/>
        <w:gridCol w:w="53"/>
        <w:gridCol w:w="3440"/>
        <w:gridCol w:w="4421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973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表一：基层法律服务类行政许可决定事项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（拟）执业机构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审批结果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陈建豪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广元市昭化区卫子法律服务所</w:t>
            </w: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执业核准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同意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赵开贵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旺苍县尚武镇法律服务所</w:t>
            </w: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执业注销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同意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973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表二：律师类、司法鉴定类、公证类初审上报省厅事项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973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lightGray"/>
                <w:lang w:eastAsia="zh-CN"/>
              </w:rPr>
              <w:t>律师类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执业机构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赵英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四川百根律师事务所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吴筱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四川华民律师事务所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律师执业变更许可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母丹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四川广府律师事务所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律师执业变更许可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刘丹丹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国家税务总局广元市税务局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公职律师工作证颁发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蒋斌</w:t>
            </w: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四川天称律师事务所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律师执业证换发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四川力发律师事务所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律师事务所变更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四川明炬（广元）律师事务所</w:t>
            </w: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律师事务所设立</w:t>
            </w: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97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lightGray"/>
                <w:lang w:eastAsia="zh-CN"/>
              </w:rPr>
              <w:t>司法鉴定类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3"/>
                <w:szCs w:val="23"/>
                <w:shd w:val="clear" w:color="auto" w:fill="FFFFFF"/>
              </w:rPr>
              <w:t>袁凌萧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广元雄关司法鉴定所</w:t>
            </w: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司法鉴定人注销登记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同意上报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97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lightGray"/>
                <w:lang w:eastAsia="zh-CN"/>
              </w:rPr>
              <w:t>公证类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4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pStyle w:val="3"/>
        <w:spacing w:before="0" w:beforeAutospacing="0" w:after="0" w:afterAutospacing="0" w:line="560" w:lineRule="exact"/>
        <w:jc w:val="both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18" w:right="1474" w:bottom="1247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egoe UI">
    <w:altName w:val="Noto Naskh Arabic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F1F3E"/>
    <w:rsid w:val="79E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2023-09-05T11:12:00Z</dcterms:created>
  <dc:creator>user</dc:creator>
  <cp:lastModifiedBy>user</cp:lastModifiedBy>
  <dcterms:modified xsi:type="dcterms:W3CDTF">2023-09-05T11:13:07Z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